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FF0000"/>
          <w:sz w:val="48"/>
          <w:szCs w:val="48"/>
        </w:rPr>
      </w:pPr>
      <w:bookmarkStart w:id="1" w:name="_GoBack"/>
      <w:bookmarkEnd w:id="1"/>
      <w:r>
        <w:rPr>
          <w:rFonts w:hint="eastAsia" w:ascii="黑体" w:eastAsia="黑体"/>
          <w:b/>
          <w:color w:val="FF0000"/>
          <w:sz w:val="48"/>
          <w:szCs w:val="48"/>
        </w:rPr>
        <w:t>四川省同正地产房地产估价有限责任公司</w:t>
      </w:r>
    </w:p>
    <w:p>
      <w:pPr>
        <w:spacing w:beforeLines="50" w:afterLines="50"/>
        <w:jc w:val="center"/>
        <w:rPr>
          <w:rFonts w:ascii="仿宋_GB2312" w:eastAsia="仿宋_GB2312"/>
          <w:b/>
          <w:bCs/>
          <w:color w:val="000000"/>
        </w:rPr>
      </w:pPr>
      <w:r>
        <w:rPr>
          <w:rFonts w:hint="eastAsia" w:ascii="仿宋_GB2312" w:eastAsia="仿宋_GB2312"/>
          <w:b/>
          <w:bCs/>
          <w:color w:val="000000"/>
        </w:rPr>
        <w:t>同正评估报（</w:t>
      </w:r>
      <w:r>
        <w:rPr>
          <w:rFonts w:ascii="仿宋_GB2312" w:eastAsia="仿宋_GB2312"/>
          <w:b/>
          <w:bCs/>
          <w:color w:val="000000"/>
        </w:rPr>
        <w:t>2022</w:t>
      </w:r>
      <w:r>
        <w:rPr>
          <w:rFonts w:hint="eastAsia" w:ascii="仿宋_GB2312" w:eastAsia="仿宋_GB2312"/>
          <w:b/>
          <w:bCs/>
          <w:color w:val="000000"/>
        </w:rPr>
        <w:t>）房第</w:t>
      </w:r>
      <w:r>
        <w:rPr>
          <w:rFonts w:ascii="仿宋_GB2312" w:eastAsia="仿宋_GB2312"/>
          <w:b/>
          <w:bCs/>
          <w:color w:val="000000"/>
        </w:rPr>
        <w:t>045</w:t>
      </w:r>
      <w:r>
        <w:rPr>
          <w:rFonts w:hint="eastAsia" w:ascii="仿宋_GB2312" w:eastAsia="仿宋_GB2312"/>
          <w:b/>
          <w:bCs/>
          <w:color w:val="000000"/>
        </w:rPr>
        <w:t>号</w:t>
      </w:r>
    </w:p>
    <w:p>
      <w:pPr>
        <w:jc w:val="center"/>
        <w:rPr>
          <w:rFonts w:ascii="黑体" w:eastAsia="黑体"/>
          <w:color w:val="FF0000"/>
          <w:sz w:val="28"/>
        </w:rPr>
      </w:pPr>
      <w:r>
        <mc:AlternateContent>
          <mc:Choice Requires="wps">
            <w:drawing>
              <wp:anchor distT="0" distB="0" distL="114300" distR="114300" simplePos="0" relativeHeight="251660288" behindDoc="0" locked="0" layoutInCell="1" allowOverlap="1">
                <wp:simplePos x="0" y="0"/>
                <wp:positionH relativeFrom="column">
                  <wp:posOffset>3104515</wp:posOffset>
                </wp:positionH>
                <wp:positionV relativeFrom="paragraph">
                  <wp:posOffset>198120</wp:posOffset>
                </wp:positionV>
                <wp:extent cx="2857500" cy="0"/>
                <wp:effectExtent l="0" t="9525" r="0" b="9525"/>
                <wp:wrapNone/>
                <wp:docPr id="2" name="Line 49"/>
                <wp:cNvGraphicFramePr/>
                <a:graphic xmlns:a="http://schemas.openxmlformats.org/drawingml/2006/main">
                  <a:graphicData uri="http://schemas.microsoft.com/office/word/2010/wordprocessingShape">
                    <wps:wsp>
                      <wps:cNvSpPr/>
                      <wps:spPr>
                        <a:xfrm>
                          <a:off x="0" y="0"/>
                          <a:ext cx="285750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Line 49" o:spid="_x0000_s1026" o:spt="20" style="position:absolute;left:0pt;margin-left:244.45pt;margin-top:15.6pt;height:0pt;width:225pt;z-index:251660288;mso-width-relative:page;mso-height-relative:page;" filled="f" stroked="t" coordsize="21600,21600" o:gfxdata="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vPthdgAAAAJAQAADwAA&#10;AAAAAAABACAAAAAiAAAAZHJzL2Rvd25yZXYueG1sUEsBAhQAFAAAAAgAh07iQPC+u43dAQAA2wMA&#10;AA4AAAAAAAAAAQAgAAAAJwEAAGRycy9lMm9Eb2MueG1sUEsFBgAAAAAGAAYAWQEAAHYFAAAAAA==&#10;">
                <v:fill on="f" focussize="0,0"/>
                <v:stroke weight="1.5pt" color="#FF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-50800</wp:posOffset>
                </wp:positionH>
                <wp:positionV relativeFrom="paragraph">
                  <wp:posOffset>198120</wp:posOffset>
                </wp:positionV>
                <wp:extent cx="2879090" cy="0"/>
                <wp:effectExtent l="0" t="9525" r="16510" b="9525"/>
                <wp:wrapNone/>
                <wp:docPr id="1" name="Line 48"/>
                <wp:cNvGraphicFramePr/>
                <a:graphic xmlns:a="http://schemas.openxmlformats.org/drawingml/2006/main">
                  <a:graphicData uri="http://schemas.microsoft.com/office/word/2010/wordprocessingShape">
                    <wps:wsp>
                      <wps:cNvSpPr/>
                      <wps:spPr>
                        <a:xfrm>
                          <a:off x="0" y="0"/>
                          <a:ext cx="287909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Line 48" o:spid="_x0000_s1026" o:spt="20" style="position:absolute;left:0pt;margin-left:-4pt;margin-top:15.6pt;height:0pt;width:226.7pt;z-index:251659264;mso-width-relative:page;mso-height-relative:page;" filled="f" stroked="t" coordsize="21600,21600" o:gfxdata="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nRZNXZAAAACAEAAA8A&#10;AAAAAAAAAQAgAAAAIgAAAGRycy9kb3ducmV2LnhtbFBLAQIUABQAAAAIAIdO4kBW/O8O3QEAANsD&#10;AAAOAAAAAAAAAAEAIAAAACgBAABkcnMvZTJvRG9jLnhtbFBLBQYAAAAABgAGAFkBAAB3BQAAAAA=&#10;">
                <v:fill on="f" focussize="0,0"/>
                <v:stroke weight="1.5pt" color="#FF0000" joinstyle="round"/>
                <v:imagedata o:title=""/>
                <o:lock v:ext="edit" aspectratio="f"/>
              </v:line>
            </w:pict>
          </mc:Fallback>
        </mc:AlternateContent>
      </w:r>
      <w:r>
        <w:rPr>
          <w:rFonts w:ascii="黑体" w:eastAsia="黑体"/>
          <w:color w:val="000000"/>
        </w:rPr>
        <w:t xml:space="preserve">  </w:t>
      </w:r>
      <w:r>
        <w:rPr>
          <w:rFonts w:hint="eastAsia" w:ascii="黑体" w:eastAsia="黑体"/>
          <w:color w:val="FF0000"/>
          <w:sz w:val="28"/>
        </w:rPr>
        <w:t>★</w:t>
      </w:r>
      <w:r>
        <w:rPr>
          <w:rFonts w:ascii="黑体" w:eastAsia="黑体"/>
          <w:color w:val="FF0000"/>
          <w:sz w:val="28"/>
        </w:rPr>
        <w:t xml:space="preserve">                                 </w:t>
      </w:r>
    </w:p>
    <w:p>
      <w:pPr>
        <w:jc w:val="center"/>
        <w:rPr>
          <w:rFonts w:eastAsia="黑体"/>
          <w:b/>
          <w:snapToGrid w:val="0"/>
          <w:color w:val="000000"/>
          <w:w w:val="200"/>
          <w:kern w:val="0"/>
          <w:sz w:val="36"/>
        </w:rPr>
      </w:pPr>
      <w:r>
        <w:rPr>
          <w:rFonts w:hint="eastAsia" w:eastAsia="黑体"/>
          <w:b/>
          <w:snapToGrid w:val="0"/>
          <w:color w:val="000000"/>
          <w:w w:val="200"/>
          <w:kern w:val="0"/>
          <w:sz w:val="36"/>
        </w:rPr>
        <w:t>房地产估价报告</w:t>
      </w:r>
    </w:p>
    <w:p>
      <w:pPr>
        <w:jc w:val="center"/>
        <w:rPr>
          <w:rFonts w:eastAsia="黑体"/>
          <w:b/>
          <w:snapToGrid w:val="0"/>
          <w:color w:val="000000"/>
          <w:w w:val="200"/>
          <w:kern w:val="0"/>
          <w:sz w:val="36"/>
        </w:rPr>
      </w:pPr>
    </w:p>
    <w:tbl>
      <w:tblPr>
        <w:tblStyle w:val="35"/>
        <w:tblW w:w="0" w:type="auto"/>
        <w:jc w:val="center"/>
        <w:tblLayout w:type="fixed"/>
        <w:tblCellMar>
          <w:top w:w="0" w:type="dxa"/>
          <w:left w:w="108" w:type="dxa"/>
          <w:bottom w:w="0" w:type="dxa"/>
          <w:right w:w="108" w:type="dxa"/>
        </w:tblCellMar>
      </w:tblPr>
      <w:tblGrid>
        <w:gridCol w:w="2808"/>
        <w:gridCol w:w="360"/>
        <w:gridCol w:w="5406"/>
      </w:tblGrid>
      <w:tr>
        <w:tblPrEx>
          <w:tblCellMar>
            <w:top w:w="0" w:type="dxa"/>
            <w:left w:w="108" w:type="dxa"/>
            <w:bottom w:w="0" w:type="dxa"/>
            <w:right w:w="108" w:type="dxa"/>
          </w:tblCellMar>
        </w:tblPrEx>
        <w:trPr>
          <w:jc w:val="center"/>
        </w:trPr>
        <w:tc>
          <w:tcPr>
            <w:tcW w:w="2808" w:type="dxa"/>
          </w:tcPr>
          <w:p>
            <w:pPr>
              <w:spacing w:line="640" w:lineRule="exact"/>
              <w:jc w:val="distribute"/>
              <w:rPr>
                <w:color w:val="000000"/>
              </w:rPr>
            </w:pPr>
            <w:r>
              <w:rPr>
                <w:rFonts w:hint="eastAsia"/>
                <w:b/>
                <w:snapToGrid w:val="0"/>
                <w:color w:val="000000"/>
                <w:kern w:val="0"/>
                <w:sz w:val="28"/>
              </w:rPr>
              <w:t>估价项目名称：</w:t>
            </w:r>
          </w:p>
        </w:tc>
        <w:tc>
          <w:tcPr>
            <w:tcW w:w="360" w:type="dxa"/>
          </w:tcPr>
          <w:p>
            <w:pPr>
              <w:spacing w:line="640" w:lineRule="exact"/>
              <w:rPr>
                <w:color w:val="000000"/>
                <w:sz w:val="28"/>
                <w:szCs w:val="28"/>
              </w:rPr>
            </w:pPr>
          </w:p>
        </w:tc>
        <w:tc>
          <w:tcPr>
            <w:tcW w:w="5406" w:type="dxa"/>
          </w:tcPr>
          <w:p>
            <w:pPr>
              <w:spacing w:line="640" w:lineRule="exact"/>
              <w:rPr>
                <w:bCs/>
                <w:snapToGrid w:val="0"/>
                <w:color w:val="000000"/>
                <w:kern w:val="0"/>
                <w:sz w:val="28"/>
                <w:szCs w:val="20"/>
              </w:rPr>
            </w:pPr>
            <w:r>
              <w:rPr>
                <w:rFonts w:hint="eastAsia"/>
                <w:bCs/>
                <w:snapToGrid w:val="0"/>
                <w:color w:val="000000"/>
                <w:kern w:val="0"/>
                <w:sz w:val="28"/>
                <w:szCs w:val="20"/>
              </w:rPr>
              <w:t>成都中汇制药有限公司所属的位于成都市金牛区金牛乡高家村</w:t>
            </w:r>
            <w:r>
              <w:rPr>
                <w:bCs/>
                <w:snapToGrid w:val="0"/>
                <w:color w:val="000000"/>
                <w:kern w:val="0"/>
                <w:sz w:val="28"/>
                <w:szCs w:val="20"/>
              </w:rPr>
              <w:t>7</w:t>
            </w:r>
            <w:r>
              <w:rPr>
                <w:rFonts w:hint="eastAsia"/>
                <w:bCs/>
                <w:snapToGrid w:val="0"/>
                <w:color w:val="000000"/>
                <w:kern w:val="0"/>
                <w:sz w:val="28"/>
                <w:szCs w:val="20"/>
              </w:rPr>
              <w:t>、</w:t>
            </w:r>
            <w:r>
              <w:rPr>
                <w:bCs/>
                <w:snapToGrid w:val="0"/>
                <w:color w:val="000000"/>
                <w:kern w:val="0"/>
                <w:sz w:val="28"/>
                <w:szCs w:val="20"/>
              </w:rPr>
              <w:t>8</w:t>
            </w:r>
            <w:r>
              <w:rPr>
                <w:rFonts w:hint="eastAsia"/>
                <w:bCs/>
                <w:snapToGrid w:val="0"/>
                <w:color w:val="000000"/>
                <w:kern w:val="0"/>
                <w:sz w:val="28"/>
                <w:szCs w:val="20"/>
              </w:rPr>
              <w:t>组（羊市街西沿线高家路段旁）一宗面积为</w:t>
            </w:r>
            <w:r>
              <w:rPr>
                <w:bCs/>
                <w:snapToGrid w:val="0"/>
                <w:color w:val="000000"/>
                <w:kern w:val="0"/>
                <w:sz w:val="28"/>
                <w:szCs w:val="20"/>
              </w:rPr>
              <w:t>21564.79</w:t>
            </w:r>
            <w:r>
              <w:rPr>
                <w:rFonts w:hint="eastAsia"/>
                <w:bCs/>
                <w:snapToGrid w:val="0"/>
                <w:color w:val="000000"/>
                <w:kern w:val="0"/>
                <w:sz w:val="28"/>
                <w:szCs w:val="20"/>
              </w:rPr>
              <w:t>㎡的出让工业用地及地上建筑物整体房地产市场价值估价</w:t>
            </w:r>
          </w:p>
        </w:tc>
      </w:tr>
      <w:tr>
        <w:tblPrEx>
          <w:tblCellMar>
            <w:top w:w="0" w:type="dxa"/>
            <w:left w:w="108" w:type="dxa"/>
            <w:bottom w:w="0" w:type="dxa"/>
            <w:right w:w="108" w:type="dxa"/>
          </w:tblCellMar>
        </w:tblPrEx>
        <w:trPr>
          <w:jc w:val="center"/>
        </w:trPr>
        <w:tc>
          <w:tcPr>
            <w:tcW w:w="2808" w:type="dxa"/>
          </w:tcPr>
          <w:p>
            <w:pPr>
              <w:spacing w:line="640" w:lineRule="exact"/>
              <w:jc w:val="distribute"/>
              <w:rPr>
                <w:color w:val="000000"/>
              </w:rPr>
            </w:pPr>
          </w:p>
        </w:tc>
        <w:tc>
          <w:tcPr>
            <w:tcW w:w="360" w:type="dxa"/>
          </w:tcPr>
          <w:p>
            <w:pPr>
              <w:spacing w:line="640" w:lineRule="exact"/>
              <w:rPr>
                <w:color w:val="000000"/>
                <w:sz w:val="28"/>
                <w:szCs w:val="28"/>
              </w:rPr>
            </w:pPr>
          </w:p>
        </w:tc>
        <w:tc>
          <w:tcPr>
            <w:tcW w:w="5406" w:type="dxa"/>
          </w:tcPr>
          <w:p>
            <w:pPr>
              <w:spacing w:line="640" w:lineRule="exact"/>
              <w:rPr>
                <w:bCs/>
                <w:snapToGrid w:val="0"/>
                <w:color w:val="000000"/>
                <w:kern w:val="0"/>
                <w:sz w:val="28"/>
              </w:rPr>
            </w:pPr>
          </w:p>
        </w:tc>
      </w:tr>
      <w:tr>
        <w:tblPrEx>
          <w:tblCellMar>
            <w:top w:w="0" w:type="dxa"/>
            <w:left w:w="108" w:type="dxa"/>
            <w:bottom w:w="0" w:type="dxa"/>
            <w:right w:w="108" w:type="dxa"/>
          </w:tblCellMar>
        </w:tblPrEx>
        <w:trPr>
          <w:jc w:val="center"/>
        </w:trPr>
        <w:tc>
          <w:tcPr>
            <w:tcW w:w="2808" w:type="dxa"/>
          </w:tcPr>
          <w:p>
            <w:pPr>
              <w:spacing w:line="640" w:lineRule="exact"/>
              <w:jc w:val="distribute"/>
              <w:rPr>
                <w:color w:val="000000"/>
              </w:rPr>
            </w:pPr>
            <w:r>
              <w:rPr>
                <w:rFonts w:hint="eastAsia"/>
                <w:b/>
                <w:snapToGrid w:val="0"/>
                <w:color w:val="000000"/>
                <w:kern w:val="0"/>
                <w:sz w:val="28"/>
              </w:rPr>
              <w:t>估价委托人：</w:t>
            </w:r>
          </w:p>
        </w:tc>
        <w:tc>
          <w:tcPr>
            <w:tcW w:w="360" w:type="dxa"/>
          </w:tcPr>
          <w:p>
            <w:pPr>
              <w:spacing w:line="640" w:lineRule="exact"/>
              <w:rPr>
                <w:color w:val="000000"/>
                <w:sz w:val="28"/>
                <w:szCs w:val="28"/>
              </w:rPr>
            </w:pPr>
          </w:p>
        </w:tc>
        <w:tc>
          <w:tcPr>
            <w:tcW w:w="5406" w:type="dxa"/>
          </w:tcPr>
          <w:p>
            <w:pPr>
              <w:spacing w:line="640" w:lineRule="exact"/>
              <w:rPr>
                <w:bCs/>
                <w:snapToGrid w:val="0"/>
                <w:color w:val="000000"/>
                <w:kern w:val="0"/>
                <w:sz w:val="28"/>
              </w:rPr>
            </w:pPr>
            <w:r>
              <w:rPr>
                <w:rFonts w:hint="eastAsia"/>
                <w:bCs/>
                <w:snapToGrid w:val="0"/>
                <w:color w:val="000000"/>
                <w:kern w:val="0"/>
                <w:sz w:val="28"/>
                <w:szCs w:val="20"/>
              </w:rPr>
              <w:t>四川省成都市中级人民法院</w:t>
            </w:r>
          </w:p>
        </w:tc>
      </w:tr>
      <w:tr>
        <w:tblPrEx>
          <w:tblCellMar>
            <w:top w:w="0" w:type="dxa"/>
            <w:left w:w="108" w:type="dxa"/>
            <w:bottom w:w="0" w:type="dxa"/>
            <w:right w:w="108" w:type="dxa"/>
          </w:tblCellMar>
        </w:tblPrEx>
        <w:trPr>
          <w:jc w:val="center"/>
        </w:trPr>
        <w:tc>
          <w:tcPr>
            <w:tcW w:w="2808" w:type="dxa"/>
          </w:tcPr>
          <w:p>
            <w:pPr>
              <w:spacing w:line="640" w:lineRule="exact"/>
              <w:jc w:val="distribute"/>
              <w:rPr>
                <w:b/>
                <w:snapToGrid w:val="0"/>
                <w:color w:val="000000"/>
                <w:kern w:val="0"/>
                <w:sz w:val="28"/>
              </w:rPr>
            </w:pPr>
          </w:p>
        </w:tc>
        <w:tc>
          <w:tcPr>
            <w:tcW w:w="360" w:type="dxa"/>
          </w:tcPr>
          <w:p>
            <w:pPr>
              <w:spacing w:line="640" w:lineRule="exact"/>
              <w:rPr>
                <w:color w:val="000000"/>
                <w:sz w:val="28"/>
                <w:szCs w:val="28"/>
              </w:rPr>
            </w:pPr>
          </w:p>
        </w:tc>
        <w:tc>
          <w:tcPr>
            <w:tcW w:w="5406" w:type="dxa"/>
          </w:tcPr>
          <w:p>
            <w:pPr>
              <w:spacing w:line="640" w:lineRule="exact"/>
              <w:rPr>
                <w:bCs/>
                <w:snapToGrid w:val="0"/>
                <w:color w:val="000000"/>
                <w:kern w:val="0"/>
                <w:sz w:val="28"/>
              </w:rPr>
            </w:pPr>
          </w:p>
        </w:tc>
      </w:tr>
      <w:tr>
        <w:tblPrEx>
          <w:tblCellMar>
            <w:top w:w="0" w:type="dxa"/>
            <w:left w:w="108" w:type="dxa"/>
            <w:bottom w:w="0" w:type="dxa"/>
            <w:right w:w="108" w:type="dxa"/>
          </w:tblCellMar>
        </w:tblPrEx>
        <w:trPr>
          <w:jc w:val="center"/>
        </w:trPr>
        <w:tc>
          <w:tcPr>
            <w:tcW w:w="2808" w:type="dxa"/>
          </w:tcPr>
          <w:p>
            <w:pPr>
              <w:spacing w:line="640" w:lineRule="exact"/>
              <w:jc w:val="distribute"/>
              <w:rPr>
                <w:color w:val="000000"/>
              </w:rPr>
            </w:pPr>
            <w:r>
              <w:rPr>
                <w:rFonts w:hint="eastAsia"/>
                <w:b/>
                <w:snapToGrid w:val="0"/>
                <w:color w:val="000000"/>
                <w:kern w:val="0"/>
                <w:sz w:val="28"/>
              </w:rPr>
              <w:t>房地产估价机构：</w:t>
            </w:r>
          </w:p>
        </w:tc>
        <w:tc>
          <w:tcPr>
            <w:tcW w:w="360" w:type="dxa"/>
          </w:tcPr>
          <w:p>
            <w:pPr>
              <w:spacing w:line="640" w:lineRule="exact"/>
              <w:rPr>
                <w:color w:val="000000"/>
                <w:sz w:val="28"/>
              </w:rPr>
            </w:pPr>
          </w:p>
        </w:tc>
        <w:tc>
          <w:tcPr>
            <w:tcW w:w="5406" w:type="dxa"/>
          </w:tcPr>
          <w:p>
            <w:pPr>
              <w:spacing w:line="640" w:lineRule="exact"/>
              <w:rPr>
                <w:bCs/>
                <w:snapToGrid w:val="0"/>
                <w:color w:val="000000"/>
                <w:kern w:val="0"/>
                <w:sz w:val="28"/>
              </w:rPr>
            </w:pPr>
            <w:r>
              <w:rPr>
                <w:rFonts w:hint="eastAsia"/>
                <w:bCs/>
                <w:snapToGrid w:val="0"/>
                <w:color w:val="000000"/>
                <w:kern w:val="0"/>
                <w:sz w:val="28"/>
              </w:rPr>
              <w:t>四川省同正地产房地产估价有限责任公司</w:t>
            </w:r>
          </w:p>
        </w:tc>
      </w:tr>
      <w:tr>
        <w:tblPrEx>
          <w:tblCellMar>
            <w:top w:w="0" w:type="dxa"/>
            <w:left w:w="108" w:type="dxa"/>
            <w:bottom w:w="0" w:type="dxa"/>
            <w:right w:w="108" w:type="dxa"/>
          </w:tblCellMar>
        </w:tblPrEx>
        <w:trPr>
          <w:jc w:val="center"/>
        </w:trPr>
        <w:tc>
          <w:tcPr>
            <w:tcW w:w="2808" w:type="dxa"/>
          </w:tcPr>
          <w:p>
            <w:pPr>
              <w:spacing w:line="640" w:lineRule="exact"/>
              <w:jc w:val="distribute"/>
              <w:rPr>
                <w:b/>
                <w:snapToGrid w:val="0"/>
                <w:color w:val="000000"/>
                <w:kern w:val="0"/>
                <w:sz w:val="28"/>
              </w:rPr>
            </w:pPr>
          </w:p>
        </w:tc>
        <w:tc>
          <w:tcPr>
            <w:tcW w:w="360" w:type="dxa"/>
          </w:tcPr>
          <w:p>
            <w:pPr>
              <w:spacing w:line="640" w:lineRule="exact"/>
              <w:rPr>
                <w:color w:val="000000"/>
                <w:sz w:val="28"/>
              </w:rPr>
            </w:pPr>
          </w:p>
        </w:tc>
        <w:tc>
          <w:tcPr>
            <w:tcW w:w="5406" w:type="dxa"/>
          </w:tcPr>
          <w:p>
            <w:pPr>
              <w:spacing w:line="640" w:lineRule="exact"/>
              <w:rPr>
                <w:bCs/>
                <w:snapToGrid w:val="0"/>
                <w:color w:val="000000"/>
                <w:kern w:val="0"/>
                <w:sz w:val="28"/>
              </w:rPr>
            </w:pPr>
          </w:p>
        </w:tc>
      </w:tr>
      <w:tr>
        <w:tblPrEx>
          <w:tblCellMar>
            <w:top w:w="0" w:type="dxa"/>
            <w:left w:w="108" w:type="dxa"/>
            <w:bottom w:w="0" w:type="dxa"/>
            <w:right w:w="108" w:type="dxa"/>
          </w:tblCellMar>
        </w:tblPrEx>
        <w:trPr>
          <w:jc w:val="center"/>
        </w:trPr>
        <w:tc>
          <w:tcPr>
            <w:tcW w:w="2808" w:type="dxa"/>
          </w:tcPr>
          <w:p>
            <w:pPr>
              <w:spacing w:line="640" w:lineRule="exact"/>
              <w:jc w:val="distribute"/>
              <w:rPr>
                <w:color w:val="000000"/>
              </w:rPr>
            </w:pPr>
            <w:r>
              <w:rPr>
                <w:rFonts w:hint="eastAsia"/>
                <w:b/>
                <w:snapToGrid w:val="0"/>
                <w:color w:val="000000"/>
                <w:kern w:val="0"/>
                <w:sz w:val="28"/>
              </w:rPr>
              <w:t>注册房地产估价师：</w:t>
            </w:r>
          </w:p>
        </w:tc>
        <w:tc>
          <w:tcPr>
            <w:tcW w:w="360" w:type="dxa"/>
          </w:tcPr>
          <w:p>
            <w:pPr>
              <w:spacing w:line="640" w:lineRule="exact"/>
              <w:rPr>
                <w:bCs/>
                <w:snapToGrid w:val="0"/>
                <w:color w:val="000000"/>
                <w:kern w:val="0"/>
                <w:sz w:val="28"/>
              </w:rPr>
            </w:pPr>
          </w:p>
        </w:tc>
        <w:tc>
          <w:tcPr>
            <w:tcW w:w="5406" w:type="dxa"/>
          </w:tcPr>
          <w:p>
            <w:pPr>
              <w:spacing w:line="640" w:lineRule="exact"/>
              <w:rPr>
                <w:bCs/>
                <w:snapToGrid w:val="0"/>
                <w:color w:val="000000"/>
                <w:kern w:val="0"/>
                <w:sz w:val="28"/>
              </w:rPr>
            </w:pPr>
            <w:r>
              <w:rPr>
                <w:rFonts w:hint="eastAsia"/>
                <w:bCs/>
                <w:snapToGrid w:val="0"/>
                <w:color w:val="000000"/>
                <w:kern w:val="0"/>
                <w:sz w:val="28"/>
                <w:szCs w:val="28"/>
              </w:rPr>
              <w:t>文</w:t>
            </w:r>
            <w:r>
              <w:rPr>
                <w:bCs/>
                <w:snapToGrid w:val="0"/>
                <w:color w:val="000000"/>
                <w:kern w:val="0"/>
                <w:sz w:val="28"/>
                <w:szCs w:val="28"/>
              </w:rPr>
              <w:t xml:space="preserve">  </w:t>
            </w:r>
            <w:r>
              <w:rPr>
                <w:rFonts w:hint="eastAsia"/>
                <w:bCs/>
                <w:snapToGrid w:val="0"/>
                <w:color w:val="000000"/>
                <w:kern w:val="0"/>
                <w:sz w:val="28"/>
                <w:szCs w:val="28"/>
              </w:rPr>
              <w:t>强</w:t>
            </w:r>
            <w:r>
              <w:rPr>
                <w:bCs/>
                <w:snapToGrid w:val="0"/>
                <w:color w:val="000000"/>
                <w:kern w:val="0"/>
                <w:sz w:val="28"/>
              </w:rPr>
              <w:t xml:space="preserve">     </w:t>
            </w:r>
            <w:r>
              <w:rPr>
                <w:rFonts w:hint="eastAsia"/>
                <w:bCs/>
                <w:snapToGrid w:val="0"/>
                <w:color w:val="000000"/>
                <w:kern w:val="0"/>
                <w:sz w:val="28"/>
              </w:rPr>
              <w:t>注册号：</w:t>
            </w:r>
            <w:r>
              <w:rPr>
                <w:bCs/>
                <w:snapToGrid w:val="0"/>
                <w:color w:val="000000"/>
                <w:kern w:val="0"/>
                <w:sz w:val="28"/>
                <w:szCs w:val="28"/>
              </w:rPr>
              <w:t>5120140027</w:t>
            </w:r>
          </w:p>
        </w:tc>
      </w:tr>
      <w:tr>
        <w:tblPrEx>
          <w:tblCellMar>
            <w:top w:w="0" w:type="dxa"/>
            <w:left w:w="108" w:type="dxa"/>
            <w:bottom w:w="0" w:type="dxa"/>
            <w:right w:w="108" w:type="dxa"/>
          </w:tblCellMar>
        </w:tblPrEx>
        <w:trPr>
          <w:jc w:val="center"/>
        </w:trPr>
        <w:tc>
          <w:tcPr>
            <w:tcW w:w="2808" w:type="dxa"/>
          </w:tcPr>
          <w:p>
            <w:pPr>
              <w:spacing w:line="640" w:lineRule="exact"/>
              <w:jc w:val="distribute"/>
              <w:rPr>
                <w:color w:val="000000"/>
              </w:rPr>
            </w:pPr>
          </w:p>
        </w:tc>
        <w:tc>
          <w:tcPr>
            <w:tcW w:w="360" w:type="dxa"/>
          </w:tcPr>
          <w:p>
            <w:pPr>
              <w:spacing w:line="640" w:lineRule="exact"/>
              <w:rPr>
                <w:bCs/>
                <w:snapToGrid w:val="0"/>
                <w:color w:val="000000"/>
                <w:kern w:val="0"/>
                <w:sz w:val="28"/>
              </w:rPr>
            </w:pPr>
          </w:p>
        </w:tc>
        <w:tc>
          <w:tcPr>
            <w:tcW w:w="5406" w:type="dxa"/>
          </w:tcPr>
          <w:p>
            <w:pPr>
              <w:spacing w:line="640" w:lineRule="exact"/>
              <w:rPr>
                <w:bCs/>
                <w:snapToGrid w:val="0"/>
                <w:color w:val="000000"/>
                <w:kern w:val="0"/>
                <w:sz w:val="28"/>
              </w:rPr>
            </w:pPr>
            <w:r>
              <w:rPr>
                <w:rFonts w:hint="eastAsia"/>
                <w:bCs/>
                <w:snapToGrid w:val="0"/>
                <w:color w:val="000000"/>
                <w:kern w:val="0"/>
                <w:sz w:val="28"/>
              </w:rPr>
              <w:t>陈</w:t>
            </w:r>
            <w:r>
              <w:rPr>
                <w:bCs/>
                <w:snapToGrid w:val="0"/>
                <w:color w:val="000000"/>
                <w:kern w:val="0"/>
                <w:sz w:val="28"/>
              </w:rPr>
              <w:t xml:space="preserve">  </w:t>
            </w:r>
            <w:r>
              <w:rPr>
                <w:rFonts w:hint="eastAsia"/>
                <w:bCs/>
                <w:snapToGrid w:val="0"/>
                <w:color w:val="000000"/>
                <w:kern w:val="0"/>
                <w:sz w:val="28"/>
              </w:rPr>
              <w:t>亭</w:t>
            </w:r>
            <w:r>
              <w:rPr>
                <w:bCs/>
                <w:snapToGrid w:val="0"/>
                <w:color w:val="000000"/>
                <w:kern w:val="0"/>
                <w:sz w:val="28"/>
                <w:szCs w:val="28"/>
              </w:rPr>
              <w:t xml:space="preserve">     </w:t>
            </w:r>
            <w:r>
              <w:rPr>
                <w:rFonts w:hint="eastAsia"/>
                <w:bCs/>
                <w:snapToGrid w:val="0"/>
                <w:color w:val="000000"/>
                <w:kern w:val="0"/>
                <w:sz w:val="28"/>
              </w:rPr>
              <w:t>注册号：</w:t>
            </w:r>
            <w:r>
              <w:rPr>
                <w:bCs/>
                <w:snapToGrid w:val="0"/>
                <w:color w:val="000000"/>
                <w:kern w:val="0"/>
                <w:sz w:val="28"/>
              </w:rPr>
              <w:t>5120000085</w:t>
            </w:r>
          </w:p>
        </w:tc>
      </w:tr>
      <w:tr>
        <w:tblPrEx>
          <w:tblCellMar>
            <w:top w:w="0" w:type="dxa"/>
            <w:left w:w="108" w:type="dxa"/>
            <w:bottom w:w="0" w:type="dxa"/>
            <w:right w:w="108" w:type="dxa"/>
          </w:tblCellMar>
        </w:tblPrEx>
        <w:trPr>
          <w:jc w:val="center"/>
        </w:trPr>
        <w:tc>
          <w:tcPr>
            <w:tcW w:w="2808" w:type="dxa"/>
          </w:tcPr>
          <w:p>
            <w:pPr>
              <w:spacing w:line="640" w:lineRule="exact"/>
              <w:jc w:val="distribute"/>
              <w:rPr>
                <w:color w:val="000000"/>
              </w:rPr>
            </w:pPr>
          </w:p>
        </w:tc>
        <w:tc>
          <w:tcPr>
            <w:tcW w:w="360" w:type="dxa"/>
          </w:tcPr>
          <w:p>
            <w:pPr>
              <w:spacing w:line="640" w:lineRule="exact"/>
              <w:rPr>
                <w:bCs/>
                <w:snapToGrid w:val="0"/>
                <w:color w:val="000000"/>
                <w:kern w:val="0"/>
                <w:sz w:val="28"/>
              </w:rPr>
            </w:pPr>
          </w:p>
        </w:tc>
        <w:tc>
          <w:tcPr>
            <w:tcW w:w="5406" w:type="dxa"/>
          </w:tcPr>
          <w:p>
            <w:pPr>
              <w:spacing w:line="640" w:lineRule="exact"/>
              <w:rPr>
                <w:bCs/>
                <w:snapToGrid w:val="0"/>
                <w:color w:val="000000"/>
                <w:kern w:val="0"/>
                <w:sz w:val="28"/>
                <w:szCs w:val="28"/>
              </w:rPr>
            </w:pPr>
          </w:p>
        </w:tc>
      </w:tr>
      <w:tr>
        <w:tblPrEx>
          <w:tblCellMar>
            <w:top w:w="0" w:type="dxa"/>
            <w:left w:w="108" w:type="dxa"/>
            <w:bottom w:w="0" w:type="dxa"/>
            <w:right w:w="108" w:type="dxa"/>
          </w:tblCellMar>
        </w:tblPrEx>
        <w:trPr>
          <w:jc w:val="center"/>
        </w:trPr>
        <w:tc>
          <w:tcPr>
            <w:tcW w:w="2808" w:type="dxa"/>
          </w:tcPr>
          <w:p>
            <w:pPr>
              <w:spacing w:line="640" w:lineRule="exact"/>
              <w:jc w:val="distribute"/>
              <w:rPr>
                <w:color w:val="000000"/>
              </w:rPr>
            </w:pPr>
            <w:r>
              <w:rPr>
                <w:rFonts w:hint="eastAsia"/>
                <w:b/>
                <w:snapToGrid w:val="0"/>
                <w:color w:val="000000"/>
                <w:kern w:val="0"/>
                <w:sz w:val="28"/>
              </w:rPr>
              <w:t>估价报告出具日期：</w:t>
            </w:r>
          </w:p>
        </w:tc>
        <w:tc>
          <w:tcPr>
            <w:tcW w:w="360" w:type="dxa"/>
          </w:tcPr>
          <w:p>
            <w:pPr>
              <w:spacing w:line="640" w:lineRule="exact"/>
              <w:rPr>
                <w:bCs/>
                <w:snapToGrid w:val="0"/>
                <w:color w:val="000000"/>
                <w:kern w:val="0"/>
                <w:sz w:val="28"/>
              </w:rPr>
            </w:pPr>
          </w:p>
        </w:tc>
        <w:tc>
          <w:tcPr>
            <w:tcW w:w="5406" w:type="dxa"/>
          </w:tcPr>
          <w:p>
            <w:pPr>
              <w:spacing w:line="640" w:lineRule="exact"/>
              <w:rPr>
                <w:bCs/>
                <w:snapToGrid w:val="0"/>
                <w:color w:val="000000"/>
                <w:kern w:val="0"/>
                <w:sz w:val="28"/>
              </w:rPr>
            </w:pPr>
            <w:r>
              <w:rPr>
                <w:bCs/>
                <w:snapToGrid w:val="0"/>
                <w:color w:val="000000"/>
                <w:kern w:val="0"/>
                <w:sz w:val="28"/>
              </w:rPr>
              <w:t>2022</w:t>
            </w:r>
            <w:r>
              <w:rPr>
                <w:rFonts w:hint="eastAsia"/>
                <w:bCs/>
                <w:snapToGrid w:val="0"/>
                <w:color w:val="000000"/>
                <w:kern w:val="0"/>
                <w:sz w:val="28"/>
              </w:rPr>
              <w:t>年</w:t>
            </w:r>
            <w:r>
              <w:rPr>
                <w:bCs/>
                <w:snapToGrid w:val="0"/>
                <w:color w:val="000000"/>
                <w:kern w:val="0"/>
                <w:sz w:val="28"/>
              </w:rPr>
              <w:t>04</w:t>
            </w:r>
            <w:r>
              <w:rPr>
                <w:rFonts w:hint="eastAsia"/>
                <w:bCs/>
                <w:snapToGrid w:val="0"/>
                <w:color w:val="000000"/>
                <w:kern w:val="0"/>
                <w:sz w:val="28"/>
              </w:rPr>
              <w:t>月</w:t>
            </w:r>
            <w:r>
              <w:rPr>
                <w:bCs/>
                <w:snapToGrid w:val="0"/>
                <w:color w:val="000000"/>
                <w:kern w:val="0"/>
                <w:sz w:val="28"/>
              </w:rPr>
              <w:t>18</w:t>
            </w:r>
            <w:r>
              <w:rPr>
                <w:rFonts w:hint="eastAsia"/>
                <w:bCs/>
                <w:snapToGrid w:val="0"/>
                <w:color w:val="000000"/>
                <w:kern w:val="0"/>
                <w:sz w:val="28"/>
              </w:rPr>
              <w:t>日</w:t>
            </w:r>
          </w:p>
        </w:tc>
      </w:tr>
      <w:tr>
        <w:tblPrEx>
          <w:tblCellMar>
            <w:top w:w="0" w:type="dxa"/>
            <w:left w:w="108" w:type="dxa"/>
            <w:bottom w:w="0" w:type="dxa"/>
            <w:right w:w="108" w:type="dxa"/>
          </w:tblCellMar>
        </w:tblPrEx>
        <w:trPr>
          <w:jc w:val="center"/>
        </w:trPr>
        <w:tc>
          <w:tcPr>
            <w:tcW w:w="2808" w:type="dxa"/>
          </w:tcPr>
          <w:p>
            <w:pPr>
              <w:spacing w:line="640" w:lineRule="exact"/>
              <w:jc w:val="distribute"/>
              <w:rPr>
                <w:color w:val="000000"/>
              </w:rPr>
            </w:pPr>
          </w:p>
        </w:tc>
        <w:tc>
          <w:tcPr>
            <w:tcW w:w="360" w:type="dxa"/>
          </w:tcPr>
          <w:p>
            <w:pPr>
              <w:spacing w:line="640" w:lineRule="exact"/>
              <w:rPr>
                <w:bCs/>
                <w:snapToGrid w:val="0"/>
                <w:color w:val="000000"/>
                <w:kern w:val="0"/>
                <w:sz w:val="28"/>
              </w:rPr>
            </w:pPr>
          </w:p>
        </w:tc>
        <w:tc>
          <w:tcPr>
            <w:tcW w:w="5406" w:type="dxa"/>
          </w:tcPr>
          <w:p>
            <w:pPr>
              <w:spacing w:line="640" w:lineRule="exact"/>
              <w:rPr>
                <w:bCs/>
                <w:snapToGrid w:val="0"/>
                <w:color w:val="000000"/>
                <w:kern w:val="0"/>
                <w:sz w:val="28"/>
              </w:rPr>
            </w:pPr>
          </w:p>
        </w:tc>
      </w:tr>
      <w:tr>
        <w:tblPrEx>
          <w:tblCellMar>
            <w:top w:w="0" w:type="dxa"/>
            <w:left w:w="108" w:type="dxa"/>
            <w:bottom w:w="0" w:type="dxa"/>
            <w:right w:w="108" w:type="dxa"/>
          </w:tblCellMar>
        </w:tblPrEx>
        <w:trPr>
          <w:jc w:val="center"/>
        </w:trPr>
        <w:tc>
          <w:tcPr>
            <w:tcW w:w="2808" w:type="dxa"/>
          </w:tcPr>
          <w:p>
            <w:pPr>
              <w:spacing w:line="640" w:lineRule="exact"/>
              <w:jc w:val="distribute"/>
              <w:rPr>
                <w:b/>
                <w:snapToGrid w:val="0"/>
                <w:color w:val="000000"/>
                <w:kern w:val="0"/>
                <w:sz w:val="28"/>
              </w:rPr>
            </w:pPr>
            <w:r>
              <w:rPr>
                <w:rFonts w:hint="eastAsia"/>
                <w:b/>
                <w:snapToGrid w:val="0"/>
                <w:color w:val="000000"/>
                <w:kern w:val="0"/>
                <w:sz w:val="28"/>
              </w:rPr>
              <w:t>估价报告编号：</w:t>
            </w:r>
          </w:p>
        </w:tc>
        <w:tc>
          <w:tcPr>
            <w:tcW w:w="360" w:type="dxa"/>
          </w:tcPr>
          <w:p>
            <w:pPr>
              <w:spacing w:line="640" w:lineRule="exact"/>
              <w:rPr>
                <w:bCs/>
                <w:snapToGrid w:val="0"/>
                <w:color w:val="000000"/>
                <w:kern w:val="0"/>
                <w:sz w:val="28"/>
              </w:rPr>
            </w:pPr>
          </w:p>
        </w:tc>
        <w:tc>
          <w:tcPr>
            <w:tcW w:w="5406" w:type="dxa"/>
          </w:tcPr>
          <w:p>
            <w:pPr>
              <w:spacing w:line="640" w:lineRule="exact"/>
              <w:rPr>
                <w:bCs/>
                <w:snapToGrid w:val="0"/>
                <w:color w:val="000000"/>
                <w:kern w:val="0"/>
                <w:sz w:val="28"/>
              </w:rPr>
            </w:pPr>
            <w:r>
              <w:rPr>
                <w:rFonts w:hint="eastAsia"/>
                <w:bCs/>
                <w:snapToGrid w:val="0"/>
                <w:color w:val="000000"/>
                <w:kern w:val="0"/>
                <w:sz w:val="28"/>
              </w:rPr>
              <w:t>同正评估报（</w:t>
            </w:r>
            <w:r>
              <w:rPr>
                <w:bCs/>
                <w:snapToGrid w:val="0"/>
                <w:color w:val="000000"/>
                <w:kern w:val="0"/>
                <w:sz w:val="28"/>
              </w:rPr>
              <w:t>2022</w:t>
            </w:r>
            <w:r>
              <w:rPr>
                <w:rFonts w:hint="eastAsia"/>
                <w:bCs/>
                <w:snapToGrid w:val="0"/>
                <w:color w:val="000000"/>
                <w:kern w:val="0"/>
                <w:sz w:val="28"/>
              </w:rPr>
              <w:t>）房第</w:t>
            </w:r>
            <w:r>
              <w:rPr>
                <w:bCs/>
                <w:snapToGrid w:val="0"/>
                <w:color w:val="000000"/>
                <w:kern w:val="0"/>
                <w:sz w:val="28"/>
              </w:rPr>
              <w:t>045</w:t>
            </w:r>
            <w:r>
              <w:rPr>
                <w:rFonts w:hint="eastAsia"/>
                <w:bCs/>
                <w:snapToGrid w:val="0"/>
                <w:color w:val="000000"/>
                <w:kern w:val="0"/>
                <w:sz w:val="28"/>
              </w:rPr>
              <w:t>号</w:t>
            </w:r>
          </w:p>
        </w:tc>
      </w:tr>
    </w:tbl>
    <w:p>
      <w:pPr>
        <w:spacing w:line="520" w:lineRule="exact"/>
        <w:jc w:val="center"/>
        <w:rPr>
          <w:rFonts w:ascii="黑体" w:eastAsia="黑体"/>
          <w:b/>
          <w:bCs/>
          <w:color w:val="000000"/>
          <w:w w:val="200"/>
          <w:sz w:val="36"/>
        </w:rPr>
      </w:pPr>
    </w:p>
    <w:p>
      <w:pPr>
        <w:spacing w:line="520" w:lineRule="exact"/>
        <w:jc w:val="center"/>
        <w:rPr>
          <w:rFonts w:ascii="黑体" w:eastAsia="黑体"/>
          <w:b/>
          <w:bCs/>
          <w:color w:val="000000"/>
          <w:w w:val="200"/>
          <w:sz w:val="36"/>
        </w:rPr>
      </w:pPr>
      <w:r>
        <w:rPr>
          <w:rFonts w:hint="eastAsia" w:ascii="黑体" w:eastAsia="黑体"/>
          <w:b/>
          <w:bCs/>
          <w:color w:val="000000"/>
          <w:w w:val="200"/>
          <w:sz w:val="36"/>
        </w:rPr>
        <w:t>致估价委托人函</w:t>
      </w:r>
    </w:p>
    <w:p>
      <w:pPr>
        <w:spacing w:line="500" w:lineRule="exact"/>
        <w:rPr>
          <w:bCs/>
          <w:snapToGrid w:val="0"/>
          <w:color w:val="000000"/>
          <w:kern w:val="0"/>
          <w:sz w:val="24"/>
        </w:rPr>
      </w:pPr>
    </w:p>
    <w:p>
      <w:pPr>
        <w:spacing w:line="500" w:lineRule="exact"/>
        <w:rPr>
          <w:bCs/>
          <w:snapToGrid w:val="0"/>
          <w:color w:val="000000"/>
          <w:kern w:val="0"/>
          <w:sz w:val="24"/>
        </w:rPr>
      </w:pPr>
      <w:r>
        <w:rPr>
          <w:rFonts w:hint="eastAsia"/>
          <w:b/>
          <w:bCs/>
          <w:snapToGrid w:val="0"/>
          <w:color w:val="000000"/>
          <w:kern w:val="0"/>
          <w:sz w:val="24"/>
        </w:rPr>
        <w:t>四川省成都市中级人民法院</w:t>
      </w:r>
      <w:r>
        <w:rPr>
          <w:rFonts w:hint="eastAsia" w:hAnsi="宋体"/>
          <w:bCs/>
          <w:snapToGrid w:val="0"/>
          <w:color w:val="000000"/>
          <w:kern w:val="0"/>
          <w:sz w:val="24"/>
        </w:rPr>
        <w:t>：</w:t>
      </w:r>
    </w:p>
    <w:p>
      <w:pPr>
        <w:spacing w:line="500" w:lineRule="exact"/>
        <w:ind w:firstLine="480" w:firstLineChars="200"/>
        <w:rPr>
          <w:rFonts w:ascii="宋体"/>
          <w:b/>
          <w:color w:val="000000"/>
          <w:spacing w:val="-4"/>
          <w:sz w:val="24"/>
        </w:rPr>
      </w:pPr>
      <w:r>
        <w:rPr>
          <w:rFonts w:hint="eastAsia" w:hAnsi="宋体"/>
          <w:color w:val="000000"/>
          <w:sz w:val="24"/>
        </w:rPr>
        <w:t>本估价机构接受贵院委托，根据国家和住建部有关房地产估价规定，本着客观、独立、公正、科学的原则，采用公允的估价方法，为贵院</w:t>
      </w:r>
      <w:r>
        <w:rPr>
          <w:rFonts w:hint="eastAsia" w:ascii="宋体" w:hAnsi="宋体"/>
          <w:snapToGrid w:val="0"/>
          <w:color w:val="000000"/>
          <w:spacing w:val="-2"/>
          <w:kern w:val="0"/>
          <w:sz w:val="24"/>
        </w:rPr>
        <w:t>执行</w:t>
      </w:r>
      <w:r>
        <w:rPr>
          <w:rFonts w:hint="eastAsia" w:hAnsi="宋体"/>
          <w:color w:val="000000"/>
          <w:sz w:val="24"/>
        </w:rPr>
        <w:t>成都鑫汇蓉和企业管理合伙企业（有限合伙）与成都中汇制药有限公司、四川怡和企业有限责任公司、成都怡和天地房地产开发有限公司、四川怡和置业有限公司金融借款合同纠纷一案中</w:t>
      </w:r>
      <w:r>
        <w:rPr>
          <w:rFonts w:hint="eastAsia" w:hAnsi="宋体"/>
          <w:bCs/>
          <w:color w:val="000000"/>
          <w:sz w:val="24"/>
        </w:rPr>
        <w:t>，需确定财产处置参考价，委托对</w:t>
      </w:r>
      <w:r>
        <w:rPr>
          <w:rFonts w:hint="eastAsia" w:hAnsi="宋体"/>
          <w:color w:val="000000"/>
          <w:sz w:val="24"/>
        </w:rPr>
        <w:t>成都中汇制药有限公司所有的位于成都市金牛区金牛乡高家村</w:t>
      </w:r>
      <w:r>
        <w:rPr>
          <w:rFonts w:hAnsi="宋体"/>
          <w:color w:val="000000"/>
          <w:sz w:val="24"/>
        </w:rPr>
        <w:t>7</w:t>
      </w:r>
      <w:r>
        <w:rPr>
          <w:rFonts w:hint="eastAsia" w:hAnsi="宋体"/>
          <w:color w:val="000000"/>
          <w:sz w:val="24"/>
        </w:rPr>
        <w:t>、</w:t>
      </w:r>
      <w:r>
        <w:rPr>
          <w:rFonts w:hAnsi="宋体"/>
          <w:color w:val="000000"/>
          <w:sz w:val="24"/>
        </w:rPr>
        <w:t>8</w:t>
      </w:r>
      <w:r>
        <w:rPr>
          <w:rFonts w:hint="eastAsia" w:hAnsi="宋体"/>
          <w:color w:val="000000"/>
          <w:sz w:val="24"/>
        </w:rPr>
        <w:t>组土地使用权【成国用（</w:t>
      </w:r>
      <w:r>
        <w:rPr>
          <w:rFonts w:hAnsi="宋体"/>
          <w:color w:val="000000"/>
          <w:sz w:val="24"/>
        </w:rPr>
        <w:t>2005</w:t>
      </w:r>
      <w:r>
        <w:rPr>
          <w:rFonts w:hint="eastAsia" w:hAnsi="宋体"/>
          <w:color w:val="000000"/>
          <w:sz w:val="24"/>
        </w:rPr>
        <w:t>）第</w:t>
      </w:r>
      <w:r>
        <w:rPr>
          <w:rFonts w:hAnsi="宋体"/>
          <w:color w:val="000000"/>
          <w:sz w:val="24"/>
        </w:rPr>
        <w:t>866</w:t>
      </w:r>
      <w:r>
        <w:rPr>
          <w:rFonts w:hint="eastAsia" w:hAnsi="宋体"/>
          <w:color w:val="000000"/>
          <w:sz w:val="24"/>
        </w:rPr>
        <w:t>号】、金牛区蜀西路</w:t>
      </w:r>
      <w:r>
        <w:rPr>
          <w:rFonts w:hAnsi="宋体"/>
          <w:color w:val="000000"/>
          <w:sz w:val="24"/>
        </w:rPr>
        <w:t>30</w:t>
      </w:r>
      <w:r>
        <w:rPr>
          <w:rFonts w:hint="eastAsia" w:hAnsi="宋体"/>
          <w:color w:val="000000"/>
          <w:sz w:val="24"/>
        </w:rPr>
        <w:t>号</w:t>
      </w:r>
      <w:r>
        <w:rPr>
          <w:rFonts w:hAnsi="宋体"/>
          <w:color w:val="000000"/>
          <w:sz w:val="24"/>
        </w:rPr>
        <w:t>1</w:t>
      </w:r>
      <w:r>
        <w:rPr>
          <w:rFonts w:hint="eastAsia" w:hAnsi="宋体"/>
          <w:color w:val="000000"/>
          <w:sz w:val="24"/>
        </w:rPr>
        <w:t>栋</w:t>
      </w:r>
      <w:r>
        <w:rPr>
          <w:rFonts w:hAnsi="宋体"/>
          <w:color w:val="000000"/>
          <w:sz w:val="24"/>
        </w:rPr>
        <w:t>1-2</w:t>
      </w:r>
      <w:r>
        <w:rPr>
          <w:rFonts w:hint="eastAsia" w:hAnsi="宋体"/>
          <w:color w:val="000000"/>
          <w:sz w:val="24"/>
        </w:rPr>
        <w:t>楼、</w:t>
      </w:r>
      <w:r>
        <w:rPr>
          <w:rFonts w:hAnsi="宋体"/>
          <w:color w:val="000000"/>
          <w:sz w:val="24"/>
        </w:rPr>
        <w:t>1-6</w:t>
      </w:r>
      <w:r>
        <w:rPr>
          <w:rFonts w:hint="eastAsia" w:hAnsi="宋体"/>
          <w:color w:val="000000"/>
          <w:sz w:val="24"/>
        </w:rPr>
        <w:t>楼、</w:t>
      </w:r>
      <w:r>
        <w:rPr>
          <w:rFonts w:hAnsi="宋体"/>
          <w:color w:val="000000"/>
          <w:sz w:val="24"/>
        </w:rPr>
        <w:t>2</w:t>
      </w:r>
      <w:r>
        <w:rPr>
          <w:rFonts w:hint="eastAsia" w:hAnsi="宋体"/>
          <w:color w:val="000000"/>
          <w:sz w:val="24"/>
        </w:rPr>
        <w:t>栋</w:t>
      </w:r>
      <w:r>
        <w:rPr>
          <w:rFonts w:hAnsi="宋体"/>
          <w:color w:val="000000"/>
          <w:sz w:val="24"/>
        </w:rPr>
        <w:t>1-2</w:t>
      </w:r>
      <w:r>
        <w:rPr>
          <w:rFonts w:hint="eastAsia" w:hAnsi="宋体"/>
          <w:color w:val="000000"/>
          <w:sz w:val="24"/>
        </w:rPr>
        <w:t>楼，</w:t>
      </w:r>
      <w:r>
        <w:rPr>
          <w:rFonts w:hAnsi="宋体"/>
          <w:color w:val="000000"/>
          <w:sz w:val="24"/>
        </w:rPr>
        <w:t>2</w:t>
      </w:r>
      <w:r>
        <w:rPr>
          <w:rFonts w:hint="eastAsia" w:hAnsi="宋体"/>
          <w:color w:val="000000"/>
          <w:sz w:val="24"/>
        </w:rPr>
        <w:t>栋</w:t>
      </w:r>
      <w:r>
        <w:rPr>
          <w:rFonts w:hAnsi="宋体"/>
          <w:color w:val="000000"/>
          <w:sz w:val="24"/>
        </w:rPr>
        <w:t>3</w:t>
      </w:r>
      <w:r>
        <w:rPr>
          <w:rFonts w:hint="eastAsia" w:hAnsi="宋体"/>
          <w:color w:val="000000"/>
          <w:sz w:val="24"/>
        </w:rPr>
        <w:t>楼，</w:t>
      </w:r>
      <w:r>
        <w:rPr>
          <w:rFonts w:hAnsi="宋体"/>
          <w:color w:val="000000"/>
          <w:sz w:val="24"/>
        </w:rPr>
        <w:t>3</w:t>
      </w:r>
      <w:r>
        <w:rPr>
          <w:rFonts w:hint="eastAsia" w:hAnsi="宋体"/>
          <w:color w:val="000000"/>
          <w:sz w:val="24"/>
        </w:rPr>
        <w:t>栋</w:t>
      </w:r>
      <w:r>
        <w:rPr>
          <w:rFonts w:hAnsi="宋体"/>
          <w:color w:val="000000"/>
          <w:sz w:val="24"/>
        </w:rPr>
        <w:t>1</w:t>
      </w:r>
      <w:r>
        <w:rPr>
          <w:rFonts w:hint="eastAsia" w:hAnsi="宋体"/>
          <w:color w:val="000000"/>
          <w:sz w:val="24"/>
        </w:rPr>
        <w:t>楼、</w:t>
      </w:r>
      <w:r>
        <w:rPr>
          <w:rFonts w:hAnsi="宋体"/>
          <w:color w:val="000000"/>
          <w:sz w:val="24"/>
        </w:rPr>
        <w:t>1-6</w:t>
      </w:r>
      <w:r>
        <w:rPr>
          <w:rFonts w:hint="eastAsia" w:hAnsi="宋体"/>
          <w:color w:val="000000"/>
          <w:sz w:val="24"/>
        </w:rPr>
        <w:t>楼房屋【蓉房权证成监字第</w:t>
      </w:r>
      <w:r>
        <w:rPr>
          <w:rFonts w:hAnsi="宋体"/>
          <w:color w:val="000000"/>
          <w:sz w:val="24"/>
        </w:rPr>
        <w:t>0998455</w:t>
      </w:r>
      <w:r>
        <w:rPr>
          <w:rFonts w:hint="eastAsia" w:hAnsi="宋体"/>
          <w:color w:val="000000"/>
          <w:sz w:val="24"/>
        </w:rPr>
        <w:t>号、成房权证监证字第</w:t>
      </w:r>
      <w:r>
        <w:rPr>
          <w:rFonts w:hAnsi="宋体"/>
          <w:color w:val="000000"/>
          <w:sz w:val="24"/>
        </w:rPr>
        <w:t>2069860</w:t>
      </w:r>
      <w:r>
        <w:rPr>
          <w:rFonts w:hint="eastAsia" w:hAnsi="宋体"/>
          <w:color w:val="000000"/>
          <w:sz w:val="24"/>
        </w:rPr>
        <w:t>、</w:t>
      </w:r>
      <w:r>
        <w:rPr>
          <w:rFonts w:hAnsi="宋体"/>
          <w:color w:val="000000"/>
          <w:sz w:val="24"/>
        </w:rPr>
        <w:t>2069857</w:t>
      </w:r>
      <w:r>
        <w:rPr>
          <w:rFonts w:hint="eastAsia" w:hAnsi="宋体"/>
          <w:color w:val="000000"/>
          <w:sz w:val="24"/>
        </w:rPr>
        <w:t>、</w:t>
      </w:r>
      <w:r>
        <w:rPr>
          <w:rFonts w:hAnsi="宋体"/>
          <w:color w:val="000000"/>
          <w:sz w:val="24"/>
        </w:rPr>
        <w:t>2069856</w:t>
      </w:r>
      <w:r>
        <w:rPr>
          <w:rFonts w:hint="eastAsia" w:hAnsi="宋体"/>
          <w:color w:val="000000"/>
          <w:sz w:val="24"/>
        </w:rPr>
        <w:t>号】房地产进行市场价值评估。</w:t>
      </w:r>
      <w:r>
        <w:rPr>
          <w:rFonts w:hint="eastAsia" w:ascii="宋体" w:hAnsi="宋体" w:cs="宋体"/>
          <w:color w:val="000000"/>
          <w:kern w:val="0"/>
          <w:sz w:val="24"/>
          <w:lang w:val="zh-CN"/>
        </w:rPr>
        <w:t>本估价机构的估价人员按照必要的估价程序实施了实地查勘、市场调查，</w:t>
      </w:r>
      <w:r>
        <w:rPr>
          <w:rFonts w:hint="eastAsia"/>
          <w:snapToGrid w:val="0"/>
          <w:color w:val="000000"/>
          <w:kern w:val="0"/>
          <w:sz w:val="24"/>
          <w:szCs w:val="20"/>
        </w:rPr>
        <w:t>分别采用成本法</w:t>
      </w:r>
      <w:r>
        <w:rPr>
          <w:rFonts w:hint="eastAsia" w:ascii="宋体" w:hAnsi="宋体" w:cs="宋体"/>
          <w:color w:val="000000"/>
          <w:kern w:val="0"/>
          <w:sz w:val="24"/>
          <w:lang w:val="zh-CN"/>
        </w:rPr>
        <w:t>（</w:t>
      </w:r>
      <w:r>
        <w:rPr>
          <w:rFonts w:hint="eastAsia" w:ascii="宋体"/>
          <w:color w:val="000000"/>
          <w:sz w:val="24"/>
        </w:rPr>
        <w:t>房地分估</w:t>
      </w:r>
      <w:r>
        <w:rPr>
          <w:rFonts w:hint="eastAsia" w:ascii="宋体" w:hAnsi="宋体"/>
          <w:color w:val="000000"/>
          <w:sz w:val="24"/>
        </w:rPr>
        <w:t>、</w:t>
      </w:r>
      <w:r>
        <w:rPr>
          <w:rFonts w:hint="eastAsia" w:ascii="宋体" w:hAnsi="宋体" w:cs="宋体"/>
          <w:color w:val="000000"/>
          <w:kern w:val="0"/>
          <w:sz w:val="24"/>
          <w:lang w:val="zh-CN"/>
        </w:rPr>
        <w:t>其中土地使用权采用基准地价系数修正法和成本逼近法）和收益法</w:t>
      </w:r>
      <w:r>
        <w:rPr>
          <w:rFonts w:hint="eastAsia"/>
          <w:snapToGrid w:val="0"/>
          <w:color w:val="000000"/>
          <w:kern w:val="0"/>
          <w:sz w:val="24"/>
          <w:szCs w:val="20"/>
        </w:rPr>
        <w:t>进行了估算，最后确定估价对象在价值时点</w:t>
      </w:r>
      <w:r>
        <w:rPr>
          <w:rFonts w:hint="eastAsia" w:ascii="宋体" w:hAnsi="宋体"/>
          <w:color w:val="000000"/>
          <w:sz w:val="24"/>
          <w:szCs w:val="20"/>
        </w:rPr>
        <w:t>二○二二年四月二日（委托书未明确，本次以</w:t>
      </w:r>
      <w:r>
        <w:rPr>
          <w:rFonts w:hint="eastAsia" w:ascii="宋体" w:hAnsi="宋体"/>
          <w:color w:val="000000"/>
          <w:sz w:val="24"/>
        </w:rPr>
        <w:t>实地查勘之日作为价值时点）市场状况下</w:t>
      </w:r>
      <w:r>
        <w:rPr>
          <w:rFonts w:hint="eastAsia"/>
          <w:bCs/>
          <w:color w:val="000000"/>
          <w:sz w:val="24"/>
        </w:rPr>
        <w:t>整体</w:t>
      </w:r>
      <w:r>
        <w:rPr>
          <w:rFonts w:hint="eastAsia" w:ascii="宋体" w:hAnsi="宋体"/>
          <w:color w:val="000000"/>
          <w:sz w:val="24"/>
        </w:rPr>
        <w:t>房地产市场价值为</w:t>
      </w:r>
      <w:r>
        <w:rPr>
          <w:b/>
          <w:color w:val="000000"/>
          <w:sz w:val="24"/>
        </w:rPr>
        <w:fldChar w:fldCharType="begin"/>
      </w:r>
      <w:r>
        <w:rPr>
          <w:b/>
          <w:color w:val="000000"/>
          <w:sz w:val="24"/>
        </w:rPr>
        <w:instrText xml:space="preserve"> =SUM(ABOVE) </w:instrText>
      </w:r>
      <w:r>
        <w:rPr>
          <w:b/>
          <w:color w:val="000000"/>
          <w:sz w:val="24"/>
        </w:rPr>
        <w:fldChar w:fldCharType="separate"/>
      </w:r>
      <w:r>
        <w:rPr>
          <w:b/>
          <w:color w:val="000000"/>
          <w:sz w:val="24"/>
        </w:rPr>
        <w:t>169915346</w:t>
      </w:r>
      <w:r>
        <w:rPr>
          <w:b/>
          <w:color w:val="000000"/>
          <w:sz w:val="24"/>
        </w:rPr>
        <w:fldChar w:fldCharType="end"/>
      </w:r>
      <w:r>
        <w:rPr>
          <w:rFonts w:hint="eastAsia"/>
          <w:bCs/>
          <w:color w:val="000000"/>
          <w:sz w:val="24"/>
        </w:rPr>
        <w:t>元，</w:t>
      </w:r>
      <w:r>
        <w:rPr>
          <w:rFonts w:hint="eastAsia" w:ascii="宋体"/>
          <w:color w:val="000000"/>
          <w:spacing w:val="-4"/>
          <w:sz w:val="24"/>
        </w:rPr>
        <w:t>大写人民币</w:t>
      </w:r>
      <w:r>
        <w:rPr>
          <w:rFonts w:ascii="宋体"/>
          <w:b/>
          <w:bCs/>
          <w:color w:val="000000"/>
          <w:spacing w:val="-4"/>
          <w:sz w:val="24"/>
        </w:rPr>
        <w:fldChar w:fldCharType="begin"/>
      </w:r>
      <w:r>
        <w:rPr>
          <w:rFonts w:ascii="宋体"/>
          <w:b/>
          <w:bCs/>
          <w:color w:val="000000"/>
          <w:spacing w:val="-4"/>
          <w:sz w:val="24"/>
        </w:rPr>
        <w:instrText xml:space="preserve"> = 169915346 \* CHINESENUM2 </w:instrText>
      </w:r>
      <w:r>
        <w:rPr>
          <w:rFonts w:ascii="宋体"/>
          <w:b/>
          <w:bCs/>
          <w:color w:val="000000"/>
          <w:spacing w:val="-4"/>
          <w:sz w:val="24"/>
        </w:rPr>
        <w:fldChar w:fldCharType="separate"/>
      </w:r>
      <w:r>
        <w:rPr>
          <w:rFonts w:hint="eastAsia" w:ascii="宋体"/>
          <w:b/>
          <w:bCs/>
          <w:color w:val="000000"/>
          <w:spacing w:val="-4"/>
          <w:sz w:val="24"/>
        </w:rPr>
        <w:t>壹亿陆仟玖佰玖拾壹万伍仟叁佰肆拾陆</w:t>
      </w:r>
      <w:r>
        <w:rPr>
          <w:rFonts w:ascii="宋体"/>
          <w:b/>
          <w:bCs/>
          <w:color w:val="000000"/>
          <w:spacing w:val="-4"/>
          <w:sz w:val="24"/>
        </w:rPr>
        <w:fldChar w:fldCharType="end"/>
      </w:r>
      <w:r>
        <w:rPr>
          <w:rFonts w:hint="eastAsia" w:ascii="宋体"/>
          <w:b/>
          <w:color w:val="000000"/>
          <w:spacing w:val="-4"/>
          <w:sz w:val="24"/>
        </w:rPr>
        <w:t>元整</w:t>
      </w:r>
      <w:r>
        <w:rPr>
          <w:rFonts w:hint="eastAsia" w:ascii="宋体"/>
          <w:color w:val="000000"/>
          <w:spacing w:val="-4"/>
          <w:sz w:val="24"/>
        </w:rPr>
        <w:t>，具体下表：</w:t>
      </w:r>
    </w:p>
    <w:p>
      <w:pPr>
        <w:spacing w:line="500" w:lineRule="exact"/>
        <w:jc w:val="center"/>
        <w:rPr>
          <w:rFonts w:ascii="宋体"/>
          <w:b/>
          <w:color w:val="000000"/>
          <w:spacing w:val="-4"/>
          <w:sz w:val="24"/>
        </w:rPr>
      </w:pPr>
      <w:r>
        <w:rPr>
          <w:rFonts w:hint="eastAsia"/>
          <w:b/>
          <w:bCs/>
          <w:color w:val="000000"/>
          <w:sz w:val="24"/>
        </w:rPr>
        <w:t>整体</w:t>
      </w:r>
      <w:r>
        <w:rPr>
          <w:rFonts w:hint="eastAsia" w:ascii="宋体"/>
          <w:b/>
          <w:color w:val="000000"/>
          <w:spacing w:val="-4"/>
          <w:sz w:val="24"/>
        </w:rPr>
        <w:t>房地产市场价值估价结果汇总表</w:t>
      </w:r>
    </w:p>
    <w:p>
      <w:pPr>
        <w:spacing w:line="500" w:lineRule="exact"/>
        <w:ind w:firstLine="602" w:firstLineChars="250"/>
        <w:jc w:val="right"/>
        <w:rPr>
          <w:b/>
          <w:color w:val="000000"/>
          <w:sz w:val="24"/>
        </w:rPr>
      </w:pPr>
      <w:r>
        <w:rPr>
          <w:rFonts w:hint="eastAsia"/>
          <w:b/>
          <w:color w:val="000000"/>
          <w:sz w:val="24"/>
        </w:rPr>
        <w:t>币种：人民币</w:t>
      </w:r>
    </w:p>
    <w:tbl>
      <w:tblPr>
        <w:tblStyle w:val="35"/>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654"/>
        <w:gridCol w:w="665"/>
        <w:gridCol w:w="665"/>
        <w:gridCol w:w="665"/>
        <w:gridCol w:w="673"/>
        <w:gridCol w:w="941"/>
        <w:gridCol w:w="682"/>
        <w:gridCol w:w="999"/>
        <w:gridCol w:w="1038"/>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Align w:val="center"/>
          </w:tcPr>
          <w:p>
            <w:pPr>
              <w:spacing w:line="360" w:lineRule="exact"/>
              <w:jc w:val="center"/>
              <w:rPr>
                <w:color w:val="000000"/>
                <w:sz w:val="18"/>
                <w:szCs w:val="18"/>
              </w:rPr>
            </w:pPr>
            <w:r>
              <w:rPr>
                <w:rFonts w:hint="eastAsia"/>
                <w:color w:val="000000"/>
                <w:sz w:val="18"/>
                <w:szCs w:val="18"/>
              </w:rPr>
              <w:t>权证号</w:t>
            </w:r>
          </w:p>
        </w:tc>
        <w:tc>
          <w:tcPr>
            <w:tcW w:w="654" w:type="dxa"/>
            <w:vAlign w:val="center"/>
          </w:tcPr>
          <w:p>
            <w:pPr>
              <w:spacing w:line="360" w:lineRule="exact"/>
              <w:jc w:val="center"/>
              <w:rPr>
                <w:color w:val="000000"/>
                <w:sz w:val="18"/>
                <w:szCs w:val="18"/>
              </w:rPr>
            </w:pPr>
            <w:r>
              <w:rPr>
                <w:rFonts w:hint="eastAsia"/>
                <w:color w:val="000000"/>
                <w:sz w:val="18"/>
                <w:szCs w:val="18"/>
              </w:rPr>
              <w:t>类别</w:t>
            </w:r>
          </w:p>
        </w:tc>
        <w:tc>
          <w:tcPr>
            <w:tcW w:w="665" w:type="dxa"/>
            <w:vAlign w:val="center"/>
          </w:tcPr>
          <w:p>
            <w:pPr>
              <w:spacing w:line="360" w:lineRule="exact"/>
              <w:jc w:val="center"/>
              <w:rPr>
                <w:color w:val="000000"/>
                <w:sz w:val="18"/>
                <w:szCs w:val="18"/>
              </w:rPr>
            </w:pPr>
            <w:r>
              <w:rPr>
                <w:rFonts w:hint="eastAsia"/>
                <w:color w:val="000000"/>
                <w:sz w:val="18"/>
                <w:szCs w:val="18"/>
              </w:rPr>
              <w:t>测绘</w:t>
            </w:r>
          </w:p>
          <w:p>
            <w:pPr>
              <w:spacing w:line="360" w:lineRule="exact"/>
              <w:jc w:val="center"/>
              <w:rPr>
                <w:color w:val="000000"/>
                <w:sz w:val="18"/>
                <w:szCs w:val="18"/>
              </w:rPr>
            </w:pPr>
            <w:r>
              <w:rPr>
                <w:rFonts w:hint="eastAsia"/>
                <w:color w:val="000000"/>
                <w:sz w:val="18"/>
                <w:szCs w:val="18"/>
              </w:rPr>
              <w:t>栋号</w:t>
            </w:r>
          </w:p>
        </w:tc>
        <w:tc>
          <w:tcPr>
            <w:tcW w:w="665" w:type="dxa"/>
            <w:vAlign w:val="center"/>
          </w:tcPr>
          <w:p>
            <w:pPr>
              <w:spacing w:line="360" w:lineRule="exact"/>
              <w:jc w:val="center"/>
              <w:rPr>
                <w:color w:val="000000"/>
                <w:sz w:val="18"/>
                <w:szCs w:val="18"/>
              </w:rPr>
            </w:pPr>
            <w:r>
              <w:rPr>
                <w:rFonts w:hint="eastAsia"/>
                <w:color w:val="000000"/>
                <w:sz w:val="18"/>
                <w:szCs w:val="18"/>
              </w:rPr>
              <w:t>现场</w:t>
            </w:r>
          </w:p>
          <w:p>
            <w:pPr>
              <w:spacing w:line="360" w:lineRule="exact"/>
              <w:jc w:val="center"/>
              <w:rPr>
                <w:color w:val="000000"/>
                <w:sz w:val="18"/>
                <w:szCs w:val="18"/>
              </w:rPr>
            </w:pPr>
            <w:r>
              <w:rPr>
                <w:rFonts w:hint="eastAsia"/>
                <w:color w:val="000000"/>
                <w:sz w:val="18"/>
                <w:szCs w:val="18"/>
              </w:rPr>
              <w:t>栋号</w:t>
            </w:r>
          </w:p>
        </w:tc>
        <w:tc>
          <w:tcPr>
            <w:tcW w:w="665" w:type="dxa"/>
            <w:vAlign w:val="center"/>
          </w:tcPr>
          <w:p>
            <w:pPr>
              <w:spacing w:line="360" w:lineRule="exact"/>
              <w:jc w:val="center"/>
              <w:rPr>
                <w:color w:val="000000"/>
                <w:sz w:val="18"/>
                <w:szCs w:val="18"/>
              </w:rPr>
            </w:pPr>
            <w:r>
              <w:rPr>
                <w:rFonts w:hint="eastAsia"/>
                <w:color w:val="000000"/>
                <w:sz w:val="18"/>
                <w:szCs w:val="18"/>
              </w:rPr>
              <w:t>涉及</w:t>
            </w:r>
          </w:p>
          <w:p>
            <w:pPr>
              <w:spacing w:line="360" w:lineRule="exact"/>
              <w:jc w:val="center"/>
              <w:rPr>
                <w:color w:val="000000"/>
                <w:sz w:val="18"/>
                <w:szCs w:val="18"/>
              </w:rPr>
            </w:pPr>
            <w:r>
              <w:rPr>
                <w:rFonts w:hint="eastAsia"/>
                <w:color w:val="000000"/>
                <w:sz w:val="18"/>
                <w:szCs w:val="18"/>
              </w:rPr>
              <w:t>楼层</w:t>
            </w:r>
          </w:p>
        </w:tc>
        <w:tc>
          <w:tcPr>
            <w:tcW w:w="673" w:type="dxa"/>
            <w:vAlign w:val="center"/>
          </w:tcPr>
          <w:p>
            <w:pPr>
              <w:spacing w:line="360" w:lineRule="exact"/>
              <w:jc w:val="center"/>
              <w:rPr>
                <w:color w:val="000000"/>
                <w:sz w:val="18"/>
                <w:szCs w:val="18"/>
              </w:rPr>
            </w:pPr>
            <w:r>
              <w:rPr>
                <w:rFonts w:hint="eastAsia"/>
                <w:color w:val="000000"/>
                <w:sz w:val="18"/>
                <w:szCs w:val="18"/>
              </w:rPr>
              <w:t>权证用途</w:t>
            </w:r>
          </w:p>
        </w:tc>
        <w:tc>
          <w:tcPr>
            <w:tcW w:w="941" w:type="dxa"/>
            <w:vAlign w:val="center"/>
          </w:tcPr>
          <w:p>
            <w:pPr>
              <w:spacing w:line="360" w:lineRule="exact"/>
              <w:jc w:val="center"/>
              <w:rPr>
                <w:color w:val="000000"/>
                <w:sz w:val="18"/>
                <w:szCs w:val="18"/>
              </w:rPr>
            </w:pPr>
            <w:r>
              <w:rPr>
                <w:rFonts w:hint="eastAsia"/>
                <w:color w:val="000000"/>
                <w:sz w:val="18"/>
                <w:szCs w:val="18"/>
              </w:rPr>
              <w:t>实际</w:t>
            </w:r>
          </w:p>
          <w:p>
            <w:pPr>
              <w:spacing w:line="360" w:lineRule="exact"/>
              <w:jc w:val="center"/>
              <w:rPr>
                <w:color w:val="000000"/>
                <w:sz w:val="18"/>
                <w:szCs w:val="18"/>
              </w:rPr>
            </w:pPr>
            <w:r>
              <w:rPr>
                <w:rFonts w:hint="eastAsia"/>
                <w:color w:val="000000"/>
                <w:sz w:val="18"/>
                <w:szCs w:val="18"/>
              </w:rPr>
              <w:t>用途</w:t>
            </w:r>
          </w:p>
        </w:tc>
        <w:tc>
          <w:tcPr>
            <w:tcW w:w="682" w:type="dxa"/>
            <w:vAlign w:val="center"/>
          </w:tcPr>
          <w:p>
            <w:pPr>
              <w:spacing w:line="360" w:lineRule="exact"/>
              <w:jc w:val="center"/>
              <w:rPr>
                <w:color w:val="000000"/>
                <w:sz w:val="18"/>
                <w:szCs w:val="18"/>
              </w:rPr>
            </w:pPr>
            <w:r>
              <w:rPr>
                <w:rFonts w:hint="eastAsia"/>
                <w:color w:val="000000"/>
                <w:sz w:val="18"/>
                <w:szCs w:val="18"/>
              </w:rPr>
              <w:t>结构</w:t>
            </w:r>
          </w:p>
        </w:tc>
        <w:tc>
          <w:tcPr>
            <w:tcW w:w="999" w:type="dxa"/>
            <w:vAlign w:val="center"/>
          </w:tcPr>
          <w:p>
            <w:pPr>
              <w:spacing w:line="360" w:lineRule="exact"/>
              <w:jc w:val="center"/>
              <w:rPr>
                <w:color w:val="000000"/>
                <w:sz w:val="18"/>
                <w:szCs w:val="18"/>
              </w:rPr>
            </w:pPr>
            <w:r>
              <w:rPr>
                <w:rFonts w:hint="eastAsia"/>
                <w:color w:val="000000"/>
                <w:sz w:val="18"/>
                <w:szCs w:val="18"/>
              </w:rPr>
              <w:t>面积</w:t>
            </w:r>
          </w:p>
          <w:p>
            <w:pPr>
              <w:spacing w:line="360" w:lineRule="exact"/>
              <w:jc w:val="center"/>
              <w:rPr>
                <w:color w:val="000000"/>
                <w:sz w:val="18"/>
                <w:szCs w:val="18"/>
              </w:rPr>
            </w:pPr>
            <w:r>
              <w:rPr>
                <w:rFonts w:hint="eastAsia"/>
                <w:color w:val="000000"/>
                <w:sz w:val="18"/>
                <w:szCs w:val="18"/>
              </w:rPr>
              <w:t>（㎡）</w:t>
            </w:r>
          </w:p>
        </w:tc>
        <w:tc>
          <w:tcPr>
            <w:tcW w:w="1038" w:type="dxa"/>
            <w:vAlign w:val="center"/>
          </w:tcPr>
          <w:p>
            <w:pPr>
              <w:spacing w:line="360" w:lineRule="exact"/>
              <w:jc w:val="center"/>
              <w:rPr>
                <w:color w:val="000000"/>
                <w:sz w:val="18"/>
                <w:szCs w:val="18"/>
              </w:rPr>
            </w:pPr>
            <w:r>
              <w:rPr>
                <w:rFonts w:hint="eastAsia"/>
                <w:color w:val="000000"/>
                <w:sz w:val="18"/>
                <w:szCs w:val="18"/>
              </w:rPr>
              <w:t>评估单价</w:t>
            </w:r>
          </w:p>
          <w:p>
            <w:pPr>
              <w:spacing w:line="360" w:lineRule="exact"/>
              <w:jc w:val="center"/>
              <w:rPr>
                <w:color w:val="000000"/>
                <w:sz w:val="18"/>
                <w:szCs w:val="18"/>
              </w:rPr>
            </w:pPr>
            <w:r>
              <w:rPr>
                <w:rFonts w:hint="eastAsia"/>
                <w:color w:val="000000"/>
                <w:sz w:val="18"/>
                <w:szCs w:val="18"/>
              </w:rPr>
              <w:t>（元</w:t>
            </w:r>
            <w:r>
              <w:rPr>
                <w:color w:val="000000"/>
                <w:sz w:val="18"/>
                <w:szCs w:val="18"/>
              </w:rPr>
              <w:t>/</w:t>
            </w:r>
            <w:r>
              <w:rPr>
                <w:rFonts w:hint="eastAsia"/>
                <w:color w:val="000000"/>
                <w:sz w:val="18"/>
                <w:szCs w:val="18"/>
              </w:rPr>
              <w:t>㎡）</w:t>
            </w:r>
          </w:p>
        </w:tc>
        <w:tc>
          <w:tcPr>
            <w:tcW w:w="1216" w:type="dxa"/>
            <w:vAlign w:val="center"/>
          </w:tcPr>
          <w:p>
            <w:pPr>
              <w:spacing w:line="360" w:lineRule="exact"/>
              <w:jc w:val="center"/>
              <w:rPr>
                <w:color w:val="000000"/>
                <w:sz w:val="18"/>
                <w:szCs w:val="18"/>
              </w:rPr>
            </w:pPr>
            <w:r>
              <w:rPr>
                <w:rFonts w:hint="eastAsia"/>
                <w:color w:val="000000"/>
                <w:sz w:val="18"/>
                <w:szCs w:val="18"/>
              </w:rPr>
              <w:t>评估总价</w:t>
            </w:r>
          </w:p>
          <w:p>
            <w:pPr>
              <w:spacing w:line="360" w:lineRule="exact"/>
              <w:jc w:val="center"/>
              <w:rPr>
                <w:color w:val="000000"/>
                <w:sz w:val="18"/>
                <w:szCs w:val="18"/>
              </w:rPr>
            </w:pPr>
            <w:r>
              <w:rPr>
                <w:rFonts w:hint="eastAsia"/>
                <w:color w:val="000000"/>
                <w:sz w:val="18"/>
                <w:szCs w:val="18"/>
              </w:rPr>
              <w:t>（元，取整）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294" w:type="dxa"/>
            <w:vMerge w:val="restart"/>
            <w:vAlign w:val="center"/>
          </w:tcPr>
          <w:p>
            <w:pPr>
              <w:spacing w:line="360" w:lineRule="exact"/>
              <w:jc w:val="center"/>
              <w:rPr>
                <w:color w:val="000000"/>
                <w:sz w:val="18"/>
                <w:szCs w:val="18"/>
              </w:rPr>
            </w:pPr>
            <w:r>
              <w:rPr>
                <w:rFonts w:hint="eastAsia"/>
                <w:color w:val="000000"/>
                <w:sz w:val="18"/>
                <w:szCs w:val="18"/>
              </w:rPr>
              <w:t>成国用（</w:t>
            </w:r>
            <w:r>
              <w:rPr>
                <w:color w:val="000000"/>
                <w:sz w:val="18"/>
                <w:szCs w:val="18"/>
              </w:rPr>
              <w:t>2005</w:t>
            </w:r>
            <w:r>
              <w:rPr>
                <w:rFonts w:hint="eastAsia"/>
                <w:color w:val="000000"/>
                <w:sz w:val="18"/>
                <w:szCs w:val="18"/>
              </w:rPr>
              <w:t>）第</w:t>
            </w:r>
            <w:r>
              <w:rPr>
                <w:color w:val="000000"/>
                <w:sz w:val="18"/>
                <w:szCs w:val="18"/>
              </w:rPr>
              <w:t>866</w:t>
            </w:r>
            <w:r>
              <w:rPr>
                <w:rFonts w:hint="eastAsia"/>
                <w:color w:val="000000"/>
                <w:sz w:val="18"/>
                <w:szCs w:val="18"/>
              </w:rPr>
              <w:t>号；蓉房权证成监字第</w:t>
            </w:r>
            <w:r>
              <w:rPr>
                <w:color w:val="000000"/>
                <w:sz w:val="18"/>
                <w:szCs w:val="18"/>
              </w:rPr>
              <w:t>0998455</w:t>
            </w:r>
            <w:r>
              <w:rPr>
                <w:rFonts w:hint="eastAsia"/>
                <w:color w:val="000000"/>
                <w:sz w:val="18"/>
                <w:szCs w:val="18"/>
              </w:rPr>
              <w:t>号、成房权证监证字第</w:t>
            </w:r>
            <w:r>
              <w:rPr>
                <w:color w:val="000000"/>
                <w:sz w:val="18"/>
                <w:szCs w:val="18"/>
              </w:rPr>
              <w:t>2069860</w:t>
            </w:r>
            <w:r>
              <w:rPr>
                <w:rFonts w:hint="eastAsia"/>
                <w:color w:val="000000"/>
                <w:sz w:val="18"/>
                <w:szCs w:val="18"/>
              </w:rPr>
              <w:t>、</w:t>
            </w:r>
            <w:r>
              <w:rPr>
                <w:color w:val="000000"/>
                <w:sz w:val="18"/>
                <w:szCs w:val="18"/>
              </w:rPr>
              <w:t>2069857</w:t>
            </w:r>
            <w:r>
              <w:rPr>
                <w:rFonts w:hint="eastAsia"/>
                <w:color w:val="000000"/>
                <w:sz w:val="18"/>
                <w:szCs w:val="18"/>
              </w:rPr>
              <w:t>、</w:t>
            </w:r>
            <w:r>
              <w:rPr>
                <w:color w:val="000000"/>
                <w:sz w:val="18"/>
                <w:szCs w:val="18"/>
              </w:rPr>
              <w:t>2069856</w:t>
            </w:r>
            <w:r>
              <w:rPr>
                <w:rFonts w:hint="eastAsia"/>
                <w:color w:val="000000"/>
                <w:sz w:val="18"/>
                <w:szCs w:val="18"/>
              </w:rPr>
              <w:t>号</w:t>
            </w:r>
          </w:p>
        </w:tc>
        <w:tc>
          <w:tcPr>
            <w:tcW w:w="654" w:type="dxa"/>
            <w:vAlign w:val="center"/>
          </w:tcPr>
          <w:p>
            <w:pPr>
              <w:spacing w:line="360" w:lineRule="exact"/>
              <w:jc w:val="center"/>
              <w:rPr>
                <w:color w:val="000000"/>
                <w:sz w:val="18"/>
                <w:szCs w:val="18"/>
              </w:rPr>
            </w:pPr>
            <w:r>
              <w:rPr>
                <w:rFonts w:hint="eastAsia"/>
                <w:color w:val="000000"/>
                <w:sz w:val="18"/>
                <w:szCs w:val="18"/>
              </w:rPr>
              <w:t>第</w:t>
            </w:r>
            <w:r>
              <w:rPr>
                <w:color w:val="000000"/>
                <w:sz w:val="18"/>
                <w:szCs w:val="18"/>
              </w:rPr>
              <w:t>1</w:t>
            </w:r>
            <w:r>
              <w:rPr>
                <w:rFonts w:hint="eastAsia"/>
                <w:color w:val="000000"/>
                <w:sz w:val="18"/>
                <w:szCs w:val="18"/>
              </w:rPr>
              <w:t>类</w:t>
            </w:r>
          </w:p>
        </w:tc>
        <w:tc>
          <w:tcPr>
            <w:tcW w:w="665" w:type="dxa"/>
            <w:vAlign w:val="center"/>
          </w:tcPr>
          <w:p>
            <w:pPr>
              <w:spacing w:line="360" w:lineRule="exact"/>
              <w:jc w:val="center"/>
              <w:rPr>
                <w:color w:val="000000"/>
                <w:sz w:val="18"/>
                <w:szCs w:val="18"/>
              </w:rPr>
            </w:pPr>
            <w:r>
              <w:rPr>
                <w:color w:val="000000"/>
                <w:sz w:val="18"/>
                <w:szCs w:val="18"/>
              </w:rPr>
              <w:t>1</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2</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1</w:t>
            </w:r>
            <w:r>
              <w:rPr>
                <w:rFonts w:hint="eastAsia"/>
                <w:color w:val="000000"/>
                <w:sz w:val="18"/>
                <w:szCs w:val="18"/>
              </w:rPr>
              <w:t>层</w:t>
            </w:r>
          </w:p>
        </w:tc>
        <w:tc>
          <w:tcPr>
            <w:tcW w:w="673" w:type="dxa"/>
            <w:vAlign w:val="center"/>
          </w:tcPr>
          <w:p>
            <w:pPr>
              <w:spacing w:line="360" w:lineRule="exact"/>
              <w:jc w:val="center"/>
              <w:rPr>
                <w:color w:val="000000"/>
                <w:sz w:val="18"/>
                <w:szCs w:val="18"/>
              </w:rPr>
            </w:pPr>
            <w:r>
              <w:rPr>
                <w:rFonts w:hint="eastAsia"/>
                <w:color w:val="000000"/>
                <w:sz w:val="18"/>
                <w:szCs w:val="18"/>
              </w:rPr>
              <w:t>工厂</w:t>
            </w:r>
          </w:p>
        </w:tc>
        <w:tc>
          <w:tcPr>
            <w:tcW w:w="941" w:type="dxa"/>
            <w:vAlign w:val="center"/>
          </w:tcPr>
          <w:p>
            <w:pPr>
              <w:spacing w:line="360" w:lineRule="exact"/>
              <w:jc w:val="center"/>
              <w:rPr>
                <w:color w:val="000000"/>
                <w:sz w:val="18"/>
                <w:szCs w:val="18"/>
              </w:rPr>
            </w:pPr>
            <w:r>
              <w:rPr>
                <w:rFonts w:hint="eastAsia"/>
                <w:color w:val="000000"/>
                <w:sz w:val="18"/>
                <w:szCs w:val="18"/>
              </w:rPr>
              <w:t>汽车销售展厅</w:t>
            </w:r>
          </w:p>
        </w:tc>
        <w:tc>
          <w:tcPr>
            <w:tcW w:w="682" w:type="dxa"/>
            <w:vAlign w:val="center"/>
          </w:tcPr>
          <w:p>
            <w:pPr>
              <w:spacing w:line="360" w:lineRule="exact"/>
              <w:jc w:val="center"/>
              <w:rPr>
                <w:color w:val="000000"/>
                <w:sz w:val="18"/>
                <w:szCs w:val="18"/>
              </w:rPr>
            </w:pPr>
            <w:r>
              <w:rPr>
                <w:rFonts w:hint="eastAsia"/>
                <w:color w:val="000000"/>
                <w:sz w:val="18"/>
                <w:szCs w:val="18"/>
              </w:rPr>
              <w:t>钢混</w:t>
            </w:r>
          </w:p>
        </w:tc>
        <w:tc>
          <w:tcPr>
            <w:tcW w:w="999" w:type="dxa"/>
            <w:vAlign w:val="center"/>
          </w:tcPr>
          <w:p>
            <w:pPr>
              <w:spacing w:line="360" w:lineRule="exact"/>
              <w:jc w:val="center"/>
              <w:rPr>
                <w:color w:val="000000"/>
                <w:sz w:val="18"/>
                <w:szCs w:val="18"/>
              </w:rPr>
            </w:pPr>
            <w:r>
              <w:rPr>
                <w:color w:val="000000"/>
                <w:sz w:val="18"/>
                <w:szCs w:val="18"/>
              </w:rPr>
              <w:t>8956.16</w:t>
            </w:r>
          </w:p>
        </w:tc>
        <w:tc>
          <w:tcPr>
            <w:tcW w:w="1038" w:type="dxa"/>
            <w:vAlign w:val="center"/>
          </w:tcPr>
          <w:p>
            <w:pPr>
              <w:spacing w:line="360" w:lineRule="exact"/>
              <w:jc w:val="center"/>
              <w:rPr>
                <w:color w:val="000000"/>
                <w:sz w:val="18"/>
                <w:szCs w:val="18"/>
              </w:rPr>
            </w:pPr>
            <w:r>
              <w:rPr>
                <w:color w:val="000000"/>
                <w:sz w:val="18"/>
                <w:szCs w:val="18"/>
              </w:rPr>
              <w:t>6478</w:t>
            </w:r>
          </w:p>
        </w:tc>
        <w:tc>
          <w:tcPr>
            <w:tcW w:w="1216" w:type="dxa"/>
            <w:vAlign w:val="center"/>
          </w:tcPr>
          <w:p>
            <w:pPr>
              <w:spacing w:line="360" w:lineRule="exact"/>
              <w:jc w:val="center"/>
              <w:rPr>
                <w:color w:val="000000"/>
                <w:sz w:val="18"/>
                <w:szCs w:val="18"/>
              </w:rPr>
            </w:pPr>
            <w:r>
              <w:rPr>
                <w:color w:val="000000"/>
                <w:sz w:val="18"/>
                <w:szCs w:val="18"/>
              </w:rPr>
              <w:fldChar w:fldCharType="begin"/>
            </w:r>
            <w:r>
              <w:rPr>
                <w:color w:val="000000"/>
                <w:sz w:val="18"/>
                <w:szCs w:val="18"/>
              </w:rPr>
              <w:instrText xml:space="preserve"> =PRODUCT(LEFT) \# "0" </w:instrText>
            </w:r>
            <w:r>
              <w:rPr>
                <w:color w:val="000000"/>
                <w:sz w:val="18"/>
                <w:szCs w:val="18"/>
              </w:rPr>
              <w:fldChar w:fldCharType="separate"/>
            </w:r>
            <w:r>
              <w:rPr>
                <w:color w:val="000000"/>
                <w:sz w:val="18"/>
                <w:szCs w:val="18"/>
              </w:rPr>
              <w:t>58018004</w:t>
            </w:r>
            <w:r>
              <w:rPr>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294" w:type="dxa"/>
            <w:vMerge w:val="continue"/>
          </w:tcPr>
          <w:p>
            <w:pPr>
              <w:spacing w:line="360" w:lineRule="exact"/>
              <w:jc w:val="center"/>
              <w:rPr>
                <w:color w:val="000000"/>
                <w:sz w:val="18"/>
                <w:szCs w:val="18"/>
              </w:rPr>
            </w:pPr>
          </w:p>
        </w:tc>
        <w:tc>
          <w:tcPr>
            <w:tcW w:w="654" w:type="dxa"/>
            <w:vAlign w:val="center"/>
          </w:tcPr>
          <w:p>
            <w:pPr>
              <w:spacing w:line="360" w:lineRule="exact"/>
              <w:jc w:val="center"/>
              <w:rPr>
                <w:color w:val="000000"/>
                <w:sz w:val="18"/>
                <w:szCs w:val="18"/>
              </w:rPr>
            </w:pPr>
            <w:r>
              <w:rPr>
                <w:rFonts w:hint="eastAsia"/>
                <w:color w:val="000000"/>
                <w:sz w:val="18"/>
                <w:szCs w:val="18"/>
              </w:rPr>
              <w:t>第</w:t>
            </w:r>
            <w:r>
              <w:rPr>
                <w:color w:val="000000"/>
                <w:sz w:val="18"/>
                <w:szCs w:val="18"/>
              </w:rPr>
              <w:t>2</w:t>
            </w:r>
            <w:r>
              <w:rPr>
                <w:rFonts w:hint="eastAsia"/>
                <w:color w:val="000000"/>
                <w:sz w:val="18"/>
                <w:szCs w:val="18"/>
              </w:rPr>
              <w:t>类</w:t>
            </w:r>
          </w:p>
        </w:tc>
        <w:tc>
          <w:tcPr>
            <w:tcW w:w="665" w:type="dxa"/>
            <w:vAlign w:val="center"/>
          </w:tcPr>
          <w:p>
            <w:pPr>
              <w:spacing w:line="360" w:lineRule="exact"/>
              <w:jc w:val="center"/>
              <w:rPr>
                <w:color w:val="000000"/>
                <w:sz w:val="18"/>
                <w:szCs w:val="18"/>
              </w:rPr>
            </w:pPr>
            <w:r>
              <w:rPr>
                <w:color w:val="000000"/>
                <w:sz w:val="18"/>
                <w:szCs w:val="18"/>
              </w:rPr>
              <w:t>1</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2</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2-3</w:t>
            </w:r>
            <w:r>
              <w:rPr>
                <w:rFonts w:hint="eastAsia"/>
                <w:color w:val="000000"/>
                <w:sz w:val="18"/>
                <w:szCs w:val="18"/>
              </w:rPr>
              <w:t>层</w:t>
            </w:r>
          </w:p>
        </w:tc>
        <w:tc>
          <w:tcPr>
            <w:tcW w:w="673" w:type="dxa"/>
            <w:vAlign w:val="center"/>
          </w:tcPr>
          <w:p>
            <w:pPr>
              <w:spacing w:line="360" w:lineRule="exact"/>
              <w:jc w:val="center"/>
              <w:rPr>
                <w:color w:val="000000"/>
                <w:sz w:val="18"/>
                <w:szCs w:val="18"/>
              </w:rPr>
            </w:pPr>
            <w:r>
              <w:rPr>
                <w:rFonts w:hint="eastAsia"/>
                <w:color w:val="000000"/>
                <w:sz w:val="18"/>
                <w:szCs w:val="18"/>
              </w:rPr>
              <w:t>工厂</w:t>
            </w:r>
          </w:p>
        </w:tc>
        <w:tc>
          <w:tcPr>
            <w:tcW w:w="941" w:type="dxa"/>
            <w:vAlign w:val="center"/>
          </w:tcPr>
          <w:p>
            <w:pPr>
              <w:spacing w:line="360" w:lineRule="exact"/>
              <w:jc w:val="center"/>
              <w:rPr>
                <w:color w:val="000000"/>
                <w:sz w:val="18"/>
                <w:szCs w:val="18"/>
              </w:rPr>
            </w:pPr>
            <w:r>
              <w:rPr>
                <w:rFonts w:hint="eastAsia"/>
                <w:color w:val="000000"/>
                <w:sz w:val="18"/>
                <w:szCs w:val="18"/>
              </w:rPr>
              <w:t>空置及办公</w:t>
            </w:r>
          </w:p>
        </w:tc>
        <w:tc>
          <w:tcPr>
            <w:tcW w:w="682" w:type="dxa"/>
            <w:vAlign w:val="center"/>
          </w:tcPr>
          <w:p>
            <w:pPr>
              <w:spacing w:line="360" w:lineRule="exact"/>
              <w:jc w:val="center"/>
              <w:rPr>
                <w:color w:val="000000"/>
                <w:sz w:val="18"/>
                <w:szCs w:val="18"/>
              </w:rPr>
            </w:pPr>
            <w:r>
              <w:rPr>
                <w:rFonts w:hint="eastAsia"/>
                <w:color w:val="000000"/>
                <w:sz w:val="18"/>
                <w:szCs w:val="18"/>
              </w:rPr>
              <w:t>钢混</w:t>
            </w:r>
          </w:p>
        </w:tc>
        <w:tc>
          <w:tcPr>
            <w:tcW w:w="999" w:type="dxa"/>
            <w:vAlign w:val="center"/>
          </w:tcPr>
          <w:p>
            <w:pPr>
              <w:spacing w:line="360" w:lineRule="exact"/>
              <w:jc w:val="center"/>
              <w:rPr>
                <w:color w:val="000000"/>
                <w:sz w:val="18"/>
                <w:szCs w:val="18"/>
              </w:rPr>
            </w:pPr>
            <w:r>
              <w:rPr>
                <w:color w:val="000000"/>
                <w:sz w:val="18"/>
                <w:szCs w:val="18"/>
              </w:rPr>
              <w:t>14782.84</w:t>
            </w:r>
          </w:p>
        </w:tc>
        <w:tc>
          <w:tcPr>
            <w:tcW w:w="1038" w:type="dxa"/>
            <w:vAlign w:val="center"/>
          </w:tcPr>
          <w:p>
            <w:pPr>
              <w:spacing w:line="360" w:lineRule="exact"/>
              <w:jc w:val="center"/>
              <w:rPr>
                <w:color w:val="000000"/>
                <w:sz w:val="18"/>
                <w:szCs w:val="18"/>
              </w:rPr>
            </w:pPr>
            <w:r>
              <w:rPr>
                <w:color w:val="000000"/>
                <w:sz w:val="18"/>
                <w:szCs w:val="18"/>
              </w:rPr>
              <w:t>4860</w:t>
            </w:r>
          </w:p>
        </w:tc>
        <w:tc>
          <w:tcPr>
            <w:tcW w:w="1216" w:type="dxa"/>
            <w:vAlign w:val="center"/>
          </w:tcPr>
          <w:p>
            <w:pPr>
              <w:spacing w:line="360" w:lineRule="exact"/>
              <w:jc w:val="center"/>
              <w:rPr>
                <w:color w:val="000000"/>
                <w:sz w:val="18"/>
                <w:szCs w:val="18"/>
              </w:rPr>
            </w:pPr>
            <w:r>
              <w:rPr>
                <w:color w:val="000000"/>
                <w:sz w:val="18"/>
                <w:szCs w:val="18"/>
              </w:rPr>
              <w:fldChar w:fldCharType="begin"/>
            </w:r>
            <w:r>
              <w:rPr>
                <w:color w:val="000000"/>
                <w:sz w:val="18"/>
                <w:szCs w:val="18"/>
              </w:rPr>
              <w:instrText xml:space="preserve"> =PRODUCT(LEFT) \# "0" </w:instrText>
            </w:r>
            <w:r>
              <w:rPr>
                <w:color w:val="000000"/>
                <w:sz w:val="18"/>
                <w:szCs w:val="18"/>
              </w:rPr>
              <w:fldChar w:fldCharType="separate"/>
            </w:r>
            <w:r>
              <w:rPr>
                <w:color w:val="000000"/>
                <w:sz w:val="18"/>
                <w:szCs w:val="18"/>
              </w:rPr>
              <w:t>71844602</w:t>
            </w:r>
            <w:r>
              <w:rPr>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Merge w:val="continue"/>
          </w:tcPr>
          <w:p>
            <w:pPr>
              <w:spacing w:line="360" w:lineRule="exact"/>
              <w:jc w:val="center"/>
              <w:rPr>
                <w:color w:val="000000"/>
                <w:sz w:val="18"/>
                <w:szCs w:val="18"/>
              </w:rPr>
            </w:pPr>
          </w:p>
        </w:tc>
        <w:tc>
          <w:tcPr>
            <w:tcW w:w="654" w:type="dxa"/>
            <w:vAlign w:val="center"/>
          </w:tcPr>
          <w:p>
            <w:pPr>
              <w:spacing w:line="360" w:lineRule="exact"/>
              <w:jc w:val="center"/>
              <w:rPr>
                <w:color w:val="000000"/>
                <w:sz w:val="18"/>
                <w:szCs w:val="18"/>
              </w:rPr>
            </w:pPr>
            <w:r>
              <w:rPr>
                <w:rFonts w:hint="eastAsia"/>
                <w:color w:val="000000"/>
                <w:sz w:val="18"/>
                <w:szCs w:val="18"/>
              </w:rPr>
              <w:t>第</w:t>
            </w:r>
            <w:r>
              <w:rPr>
                <w:color w:val="000000"/>
                <w:sz w:val="18"/>
                <w:szCs w:val="18"/>
              </w:rPr>
              <w:t>3</w:t>
            </w:r>
            <w:r>
              <w:rPr>
                <w:rFonts w:hint="eastAsia"/>
                <w:color w:val="000000"/>
                <w:sz w:val="18"/>
                <w:szCs w:val="18"/>
              </w:rPr>
              <w:t>类</w:t>
            </w:r>
          </w:p>
        </w:tc>
        <w:tc>
          <w:tcPr>
            <w:tcW w:w="665" w:type="dxa"/>
            <w:vAlign w:val="center"/>
          </w:tcPr>
          <w:p>
            <w:pPr>
              <w:spacing w:line="360" w:lineRule="exact"/>
              <w:jc w:val="center"/>
              <w:rPr>
                <w:color w:val="000000"/>
                <w:sz w:val="18"/>
                <w:szCs w:val="18"/>
              </w:rPr>
            </w:pPr>
            <w:r>
              <w:rPr>
                <w:color w:val="000000"/>
                <w:sz w:val="18"/>
                <w:szCs w:val="18"/>
              </w:rPr>
              <w:t>3</w:t>
            </w:r>
            <w:r>
              <w:rPr>
                <w:rFonts w:hint="eastAsia"/>
                <w:color w:val="000000"/>
                <w:sz w:val="18"/>
                <w:szCs w:val="18"/>
              </w:rPr>
              <w:t>、</w:t>
            </w:r>
            <w:r>
              <w:rPr>
                <w:color w:val="000000"/>
                <w:sz w:val="18"/>
                <w:szCs w:val="18"/>
              </w:rPr>
              <w:t>4</w:t>
            </w:r>
            <w:r>
              <w:rPr>
                <w:rFonts w:hint="eastAsia"/>
                <w:color w:val="000000"/>
                <w:sz w:val="18"/>
                <w:szCs w:val="18"/>
              </w:rPr>
              <w:t>、</w:t>
            </w:r>
            <w:r>
              <w:rPr>
                <w:color w:val="000000"/>
                <w:sz w:val="18"/>
                <w:szCs w:val="18"/>
              </w:rPr>
              <w:t>5</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1</w:t>
            </w:r>
            <w:r>
              <w:rPr>
                <w:rFonts w:hint="eastAsia"/>
                <w:color w:val="000000"/>
                <w:sz w:val="18"/>
                <w:szCs w:val="18"/>
              </w:rPr>
              <w:t>、</w:t>
            </w:r>
            <w:r>
              <w:rPr>
                <w:color w:val="000000"/>
                <w:sz w:val="18"/>
                <w:szCs w:val="18"/>
              </w:rPr>
              <w:t>3</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1-6</w:t>
            </w:r>
            <w:r>
              <w:rPr>
                <w:rFonts w:hint="eastAsia"/>
                <w:color w:val="000000"/>
                <w:sz w:val="18"/>
                <w:szCs w:val="18"/>
              </w:rPr>
              <w:t>层</w:t>
            </w:r>
          </w:p>
        </w:tc>
        <w:tc>
          <w:tcPr>
            <w:tcW w:w="673" w:type="dxa"/>
            <w:vAlign w:val="center"/>
          </w:tcPr>
          <w:p>
            <w:pPr>
              <w:spacing w:line="360" w:lineRule="exact"/>
              <w:jc w:val="center"/>
              <w:rPr>
                <w:color w:val="000000"/>
                <w:sz w:val="18"/>
                <w:szCs w:val="18"/>
              </w:rPr>
            </w:pPr>
            <w:r>
              <w:rPr>
                <w:rFonts w:hint="eastAsia"/>
                <w:color w:val="000000"/>
                <w:sz w:val="18"/>
                <w:szCs w:val="18"/>
              </w:rPr>
              <w:t>办公、其它、住宅</w:t>
            </w:r>
          </w:p>
        </w:tc>
        <w:tc>
          <w:tcPr>
            <w:tcW w:w="941" w:type="dxa"/>
            <w:vAlign w:val="center"/>
          </w:tcPr>
          <w:p>
            <w:pPr>
              <w:spacing w:line="360" w:lineRule="exact"/>
              <w:jc w:val="center"/>
              <w:rPr>
                <w:color w:val="000000"/>
                <w:sz w:val="18"/>
                <w:szCs w:val="18"/>
              </w:rPr>
            </w:pPr>
            <w:r>
              <w:rPr>
                <w:rFonts w:hint="eastAsia"/>
                <w:color w:val="000000"/>
                <w:sz w:val="18"/>
                <w:szCs w:val="18"/>
              </w:rPr>
              <w:t>办公、摩托车展厅、售车直播间</w:t>
            </w:r>
          </w:p>
        </w:tc>
        <w:tc>
          <w:tcPr>
            <w:tcW w:w="682" w:type="dxa"/>
            <w:vAlign w:val="center"/>
          </w:tcPr>
          <w:p>
            <w:pPr>
              <w:spacing w:line="360" w:lineRule="exact"/>
              <w:jc w:val="center"/>
              <w:rPr>
                <w:color w:val="000000"/>
                <w:sz w:val="18"/>
                <w:szCs w:val="18"/>
              </w:rPr>
            </w:pPr>
            <w:r>
              <w:rPr>
                <w:rFonts w:hint="eastAsia"/>
                <w:color w:val="000000"/>
                <w:sz w:val="18"/>
                <w:szCs w:val="18"/>
              </w:rPr>
              <w:t>钢混</w:t>
            </w:r>
          </w:p>
        </w:tc>
        <w:tc>
          <w:tcPr>
            <w:tcW w:w="999" w:type="dxa"/>
            <w:vAlign w:val="center"/>
          </w:tcPr>
          <w:p>
            <w:pPr>
              <w:spacing w:line="360" w:lineRule="exact"/>
              <w:jc w:val="center"/>
              <w:rPr>
                <w:color w:val="000000"/>
                <w:sz w:val="18"/>
                <w:szCs w:val="18"/>
              </w:rPr>
            </w:pPr>
            <w:r>
              <w:rPr>
                <w:color w:val="000000"/>
                <w:sz w:val="18"/>
                <w:szCs w:val="18"/>
              </w:rPr>
              <w:t>7670</w:t>
            </w:r>
          </w:p>
        </w:tc>
        <w:tc>
          <w:tcPr>
            <w:tcW w:w="1038" w:type="dxa"/>
            <w:vAlign w:val="center"/>
          </w:tcPr>
          <w:p>
            <w:pPr>
              <w:spacing w:line="360" w:lineRule="exact"/>
              <w:jc w:val="center"/>
              <w:rPr>
                <w:color w:val="000000"/>
                <w:sz w:val="18"/>
                <w:szCs w:val="18"/>
              </w:rPr>
            </w:pPr>
            <w:r>
              <w:rPr>
                <w:color w:val="000000"/>
                <w:sz w:val="18"/>
                <w:szCs w:val="18"/>
              </w:rPr>
              <w:t>5222</w:t>
            </w:r>
          </w:p>
        </w:tc>
        <w:tc>
          <w:tcPr>
            <w:tcW w:w="1216" w:type="dxa"/>
            <w:vAlign w:val="center"/>
          </w:tcPr>
          <w:p>
            <w:pPr>
              <w:spacing w:line="360" w:lineRule="exact"/>
              <w:jc w:val="center"/>
              <w:rPr>
                <w:color w:val="000000"/>
                <w:sz w:val="18"/>
                <w:szCs w:val="18"/>
              </w:rPr>
            </w:pPr>
            <w:r>
              <w:rPr>
                <w:color w:val="000000"/>
                <w:sz w:val="18"/>
                <w:szCs w:val="18"/>
              </w:rPr>
              <w:fldChar w:fldCharType="begin"/>
            </w:r>
            <w:r>
              <w:rPr>
                <w:color w:val="000000"/>
                <w:sz w:val="18"/>
                <w:szCs w:val="18"/>
              </w:rPr>
              <w:instrText xml:space="preserve"> =PRODUCT(LEFT) \# "0" </w:instrText>
            </w:r>
            <w:r>
              <w:rPr>
                <w:color w:val="000000"/>
                <w:sz w:val="18"/>
                <w:szCs w:val="18"/>
              </w:rPr>
              <w:fldChar w:fldCharType="separate"/>
            </w:r>
            <w:r>
              <w:rPr>
                <w:color w:val="000000"/>
                <w:sz w:val="18"/>
                <w:szCs w:val="18"/>
              </w:rPr>
              <w:t>40052740</w:t>
            </w:r>
            <w:r>
              <w:rPr>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tcPr>
          <w:p>
            <w:pPr>
              <w:spacing w:line="360" w:lineRule="exact"/>
              <w:jc w:val="center"/>
              <w:rPr>
                <w:b/>
                <w:color w:val="000000"/>
                <w:sz w:val="18"/>
                <w:szCs w:val="18"/>
              </w:rPr>
            </w:pPr>
            <w:r>
              <w:rPr>
                <w:rFonts w:hint="eastAsia"/>
                <w:b/>
                <w:color w:val="000000"/>
                <w:sz w:val="18"/>
                <w:szCs w:val="18"/>
              </w:rPr>
              <w:t>合计</w:t>
            </w:r>
          </w:p>
        </w:tc>
        <w:tc>
          <w:tcPr>
            <w:tcW w:w="654" w:type="dxa"/>
            <w:vAlign w:val="center"/>
          </w:tcPr>
          <w:p>
            <w:pPr>
              <w:spacing w:line="360" w:lineRule="exact"/>
              <w:jc w:val="center"/>
              <w:rPr>
                <w:b/>
                <w:color w:val="000000"/>
                <w:sz w:val="18"/>
                <w:szCs w:val="18"/>
              </w:rPr>
            </w:pPr>
            <w:r>
              <w:rPr>
                <w:b/>
                <w:color w:val="000000"/>
                <w:sz w:val="18"/>
                <w:szCs w:val="18"/>
              </w:rPr>
              <w:t>/</w:t>
            </w:r>
          </w:p>
        </w:tc>
        <w:tc>
          <w:tcPr>
            <w:tcW w:w="665" w:type="dxa"/>
            <w:vAlign w:val="center"/>
          </w:tcPr>
          <w:p>
            <w:pPr>
              <w:spacing w:line="360" w:lineRule="exact"/>
              <w:jc w:val="center"/>
              <w:rPr>
                <w:b/>
                <w:color w:val="000000"/>
                <w:sz w:val="18"/>
                <w:szCs w:val="18"/>
              </w:rPr>
            </w:pPr>
            <w:r>
              <w:rPr>
                <w:b/>
                <w:color w:val="000000"/>
                <w:sz w:val="18"/>
                <w:szCs w:val="18"/>
              </w:rPr>
              <w:t>/</w:t>
            </w:r>
          </w:p>
        </w:tc>
        <w:tc>
          <w:tcPr>
            <w:tcW w:w="665" w:type="dxa"/>
            <w:vAlign w:val="center"/>
          </w:tcPr>
          <w:p>
            <w:pPr>
              <w:spacing w:line="360" w:lineRule="exact"/>
              <w:jc w:val="center"/>
              <w:rPr>
                <w:b/>
                <w:color w:val="000000"/>
                <w:sz w:val="18"/>
                <w:szCs w:val="18"/>
              </w:rPr>
            </w:pPr>
            <w:r>
              <w:rPr>
                <w:b/>
                <w:color w:val="000000"/>
                <w:sz w:val="18"/>
                <w:szCs w:val="18"/>
              </w:rPr>
              <w:t>/</w:t>
            </w:r>
          </w:p>
        </w:tc>
        <w:tc>
          <w:tcPr>
            <w:tcW w:w="665" w:type="dxa"/>
            <w:vAlign w:val="center"/>
          </w:tcPr>
          <w:p>
            <w:pPr>
              <w:spacing w:line="360" w:lineRule="exact"/>
              <w:jc w:val="center"/>
              <w:rPr>
                <w:b/>
                <w:color w:val="000000"/>
                <w:sz w:val="18"/>
                <w:szCs w:val="18"/>
              </w:rPr>
            </w:pPr>
            <w:r>
              <w:rPr>
                <w:b/>
                <w:color w:val="000000"/>
                <w:sz w:val="18"/>
                <w:szCs w:val="18"/>
              </w:rPr>
              <w:t>/</w:t>
            </w:r>
          </w:p>
        </w:tc>
        <w:tc>
          <w:tcPr>
            <w:tcW w:w="673" w:type="dxa"/>
            <w:vAlign w:val="center"/>
          </w:tcPr>
          <w:p>
            <w:pPr>
              <w:spacing w:line="360" w:lineRule="exact"/>
              <w:jc w:val="center"/>
              <w:rPr>
                <w:b/>
                <w:color w:val="000000"/>
                <w:sz w:val="18"/>
                <w:szCs w:val="18"/>
              </w:rPr>
            </w:pPr>
            <w:r>
              <w:rPr>
                <w:b/>
                <w:color w:val="000000"/>
                <w:sz w:val="18"/>
                <w:szCs w:val="18"/>
              </w:rPr>
              <w:t>/</w:t>
            </w:r>
          </w:p>
        </w:tc>
        <w:tc>
          <w:tcPr>
            <w:tcW w:w="941" w:type="dxa"/>
            <w:vAlign w:val="center"/>
          </w:tcPr>
          <w:p>
            <w:pPr>
              <w:spacing w:line="360" w:lineRule="exact"/>
              <w:jc w:val="center"/>
              <w:rPr>
                <w:b/>
                <w:color w:val="000000"/>
                <w:sz w:val="18"/>
                <w:szCs w:val="18"/>
              </w:rPr>
            </w:pPr>
            <w:r>
              <w:rPr>
                <w:b/>
                <w:color w:val="000000"/>
                <w:sz w:val="18"/>
                <w:szCs w:val="18"/>
              </w:rPr>
              <w:t>/</w:t>
            </w:r>
          </w:p>
        </w:tc>
        <w:tc>
          <w:tcPr>
            <w:tcW w:w="682" w:type="dxa"/>
            <w:vAlign w:val="center"/>
          </w:tcPr>
          <w:p>
            <w:pPr>
              <w:spacing w:line="360" w:lineRule="exact"/>
              <w:jc w:val="center"/>
              <w:rPr>
                <w:b/>
                <w:color w:val="000000"/>
                <w:sz w:val="18"/>
                <w:szCs w:val="18"/>
              </w:rPr>
            </w:pPr>
            <w:r>
              <w:rPr>
                <w:b/>
                <w:color w:val="000000"/>
                <w:sz w:val="18"/>
                <w:szCs w:val="18"/>
              </w:rPr>
              <w:t>/</w:t>
            </w:r>
          </w:p>
        </w:tc>
        <w:tc>
          <w:tcPr>
            <w:tcW w:w="999" w:type="dxa"/>
            <w:vAlign w:val="center"/>
          </w:tcPr>
          <w:p>
            <w:pPr>
              <w:spacing w:line="360" w:lineRule="exact"/>
              <w:jc w:val="center"/>
              <w:rPr>
                <w:b/>
                <w:color w:val="000000"/>
                <w:sz w:val="18"/>
                <w:szCs w:val="18"/>
              </w:rPr>
            </w:pPr>
            <w:r>
              <w:rPr>
                <w:b/>
                <w:color w:val="000000"/>
                <w:sz w:val="18"/>
                <w:szCs w:val="18"/>
              </w:rPr>
              <w:fldChar w:fldCharType="begin"/>
            </w:r>
            <w:r>
              <w:rPr>
                <w:b/>
                <w:color w:val="000000"/>
                <w:sz w:val="18"/>
                <w:szCs w:val="18"/>
              </w:rPr>
              <w:instrText xml:space="preserve"> =SUM(ABOVE) </w:instrText>
            </w:r>
            <w:r>
              <w:rPr>
                <w:b/>
                <w:color w:val="000000"/>
                <w:sz w:val="18"/>
                <w:szCs w:val="18"/>
              </w:rPr>
              <w:fldChar w:fldCharType="separate"/>
            </w:r>
            <w:r>
              <w:rPr>
                <w:b/>
                <w:color w:val="000000"/>
                <w:sz w:val="18"/>
                <w:szCs w:val="18"/>
              </w:rPr>
              <w:t>31409</w:t>
            </w:r>
            <w:r>
              <w:rPr>
                <w:b/>
                <w:color w:val="000000"/>
                <w:sz w:val="18"/>
                <w:szCs w:val="18"/>
              </w:rPr>
              <w:fldChar w:fldCharType="end"/>
            </w:r>
          </w:p>
        </w:tc>
        <w:tc>
          <w:tcPr>
            <w:tcW w:w="1038" w:type="dxa"/>
            <w:vAlign w:val="center"/>
          </w:tcPr>
          <w:p>
            <w:pPr>
              <w:spacing w:line="360" w:lineRule="exact"/>
              <w:jc w:val="center"/>
              <w:rPr>
                <w:b/>
                <w:color w:val="000000"/>
                <w:sz w:val="18"/>
                <w:szCs w:val="18"/>
              </w:rPr>
            </w:pPr>
            <w:r>
              <w:rPr>
                <w:b/>
                <w:color w:val="000000"/>
                <w:sz w:val="18"/>
                <w:szCs w:val="18"/>
              </w:rPr>
              <w:t>/</w:t>
            </w:r>
          </w:p>
        </w:tc>
        <w:tc>
          <w:tcPr>
            <w:tcW w:w="1216" w:type="dxa"/>
            <w:vAlign w:val="center"/>
          </w:tcPr>
          <w:p>
            <w:pPr>
              <w:spacing w:line="360" w:lineRule="exact"/>
              <w:jc w:val="center"/>
              <w:rPr>
                <w:b/>
                <w:color w:val="000000"/>
                <w:sz w:val="18"/>
                <w:szCs w:val="18"/>
              </w:rPr>
            </w:pPr>
            <w:r>
              <w:rPr>
                <w:b/>
                <w:color w:val="000000"/>
                <w:sz w:val="18"/>
                <w:szCs w:val="18"/>
              </w:rPr>
              <w:fldChar w:fldCharType="begin"/>
            </w:r>
            <w:r>
              <w:rPr>
                <w:b/>
                <w:color w:val="000000"/>
                <w:sz w:val="18"/>
                <w:szCs w:val="18"/>
              </w:rPr>
              <w:instrText xml:space="preserve"> =SUM(ABOVE) </w:instrText>
            </w:r>
            <w:r>
              <w:rPr>
                <w:b/>
                <w:color w:val="000000"/>
                <w:sz w:val="18"/>
                <w:szCs w:val="18"/>
              </w:rPr>
              <w:fldChar w:fldCharType="separate"/>
            </w:r>
            <w:r>
              <w:rPr>
                <w:b/>
                <w:color w:val="000000"/>
                <w:sz w:val="18"/>
                <w:szCs w:val="18"/>
              </w:rPr>
              <w:t>169915346</w:t>
            </w:r>
            <w:r>
              <w:rPr>
                <w:b/>
                <w:color w:val="000000"/>
                <w:sz w:val="18"/>
                <w:szCs w:val="18"/>
              </w:rPr>
              <w:fldChar w:fldCharType="end"/>
            </w:r>
          </w:p>
        </w:tc>
      </w:tr>
    </w:tbl>
    <w:p>
      <w:pPr>
        <w:spacing w:line="500" w:lineRule="exact"/>
        <w:ind w:firstLine="422" w:firstLineChars="200"/>
        <w:rPr>
          <w:rFonts w:ascii="宋体" w:cs="宋体"/>
          <w:b/>
          <w:color w:val="000000"/>
          <w:szCs w:val="21"/>
        </w:rPr>
      </w:pPr>
      <w:r>
        <w:rPr>
          <w:rFonts w:hint="eastAsia" w:ascii="宋体" w:cs="宋体"/>
          <w:b/>
          <w:color w:val="000000"/>
          <w:szCs w:val="21"/>
        </w:rPr>
        <w:t>特别提示：</w:t>
      </w:r>
    </w:p>
    <w:p>
      <w:pPr>
        <w:spacing w:line="400" w:lineRule="exact"/>
        <w:ind w:firstLine="422" w:firstLineChars="200"/>
        <w:rPr>
          <w:rFonts w:ascii="宋体" w:cs="宋体"/>
          <w:b/>
          <w:color w:val="000000"/>
          <w:szCs w:val="21"/>
        </w:rPr>
      </w:pPr>
      <w:r>
        <w:rPr>
          <w:rFonts w:ascii="宋体" w:cs="宋体"/>
          <w:b/>
          <w:color w:val="000000"/>
          <w:szCs w:val="21"/>
        </w:rPr>
        <w:t>1</w:t>
      </w:r>
      <w:r>
        <w:rPr>
          <w:rFonts w:hint="eastAsia" w:ascii="宋体" w:cs="宋体"/>
          <w:b/>
          <w:color w:val="000000"/>
          <w:szCs w:val="21"/>
        </w:rPr>
        <w:t>、本估价结果是反映估价对象在本次估价目的下的整体房地产市场价值，仅作为估价委托人确定财产处置参考价提供参考依据，不代表其实际成交价，其最终实际成交价应该以估价委托人根据相关程序进行拍卖成交时的最终结果为准。</w:t>
      </w:r>
    </w:p>
    <w:p>
      <w:pPr>
        <w:spacing w:line="400" w:lineRule="exact"/>
        <w:ind w:firstLine="422" w:firstLineChars="200"/>
        <w:rPr>
          <w:rFonts w:ascii="宋体" w:cs="宋体"/>
          <w:b/>
          <w:color w:val="000000"/>
          <w:szCs w:val="21"/>
        </w:rPr>
      </w:pPr>
      <w:r>
        <w:rPr>
          <w:rFonts w:ascii="宋体" w:cs="宋体"/>
          <w:b/>
          <w:color w:val="000000"/>
          <w:szCs w:val="21"/>
        </w:rPr>
        <w:t>2</w:t>
      </w:r>
      <w:r>
        <w:rPr>
          <w:rFonts w:hint="eastAsia" w:ascii="宋体" w:cs="宋体"/>
          <w:b/>
          <w:color w:val="000000"/>
          <w:szCs w:val="21"/>
        </w:rPr>
        <w:t>、估价对象土地使用权已取得《国有土地使用证》及地上</w:t>
      </w:r>
      <w:r>
        <w:rPr>
          <w:rFonts w:ascii="宋体" w:cs="宋体"/>
          <w:b/>
          <w:color w:val="000000"/>
          <w:szCs w:val="21"/>
        </w:rPr>
        <w:t>3</w:t>
      </w:r>
      <w:r>
        <w:rPr>
          <w:rFonts w:hint="eastAsia" w:ascii="宋体" w:cs="宋体"/>
          <w:b/>
          <w:color w:val="000000"/>
          <w:szCs w:val="21"/>
        </w:rPr>
        <w:t>栋建筑已分别取得</w:t>
      </w:r>
      <w:r>
        <w:rPr>
          <w:rFonts w:ascii="宋体" w:cs="宋体"/>
          <w:b/>
          <w:color w:val="000000"/>
          <w:szCs w:val="21"/>
        </w:rPr>
        <w:t>4</w:t>
      </w:r>
      <w:r>
        <w:rPr>
          <w:rFonts w:hint="eastAsia" w:ascii="宋体" w:cs="宋体"/>
          <w:b/>
          <w:color w:val="000000"/>
          <w:szCs w:val="21"/>
        </w:rPr>
        <w:t>份《房屋所有权证》，土地用途记载为工业用地、房屋登记用途分别为工厂、办公、教育及其他等，但实际用途为经营“广和都市工业总部”和“广和汽车孵化园”及配套经营性汽车销售展厅、停车场、综合办公等，本估价结果反映的以提供权属证明记载事项、但维持现状前提下的价值。</w:t>
      </w:r>
    </w:p>
    <w:p>
      <w:pPr>
        <w:spacing w:line="400" w:lineRule="exact"/>
        <w:ind w:firstLine="422" w:firstLineChars="200"/>
        <w:rPr>
          <w:rFonts w:ascii="宋体" w:cs="宋体"/>
          <w:b/>
          <w:color w:val="000000"/>
          <w:szCs w:val="21"/>
        </w:rPr>
      </w:pPr>
      <w:r>
        <w:rPr>
          <w:rFonts w:ascii="宋体" w:cs="宋体"/>
          <w:b/>
          <w:color w:val="000000"/>
          <w:szCs w:val="21"/>
        </w:rPr>
        <w:t>3</w:t>
      </w:r>
      <w:r>
        <w:rPr>
          <w:rFonts w:hint="eastAsia" w:ascii="宋体" w:cs="宋体"/>
          <w:b/>
          <w:color w:val="000000"/>
          <w:szCs w:val="21"/>
        </w:rPr>
        <w:t>、</w:t>
      </w:r>
      <w:r>
        <w:rPr>
          <w:rFonts w:ascii="宋体" w:cs="宋体"/>
          <w:b/>
          <w:color w:val="000000"/>
          <w:szCs w:val="21"/>
        </w:rPr>
        <w:t>2022</w:t>
      </w:r>
      <w:r>
        <w:rPr>
          <w:rFonts w:hint="eastAsia" w:ascii="宋体" w:cs="宋体"/>
          <w:b/>
          <w:color w:val="000000"/>
          <w:szCs w:val="21"/>
        </w:rPr>
        <w:t>年</w:t>
      </w:r>
      <w:r>
        <w:rPr>
          <w:rFonts w:ascii="宋体" w:cs="宋体"/>
          <w:b/>
          <w:color w:val="000000"/>
          <w:szCs w:val="21"/>
        </w:rPr>
        <w:t>04</w:t>
      </w:r>
      <w:r>
        <w:rPr>
          <w:rFonts w:hint="eastAsia" w:ascii="宋体" w:cs="宋体"/>
          <w:b/>
          <w:color w:val="000000"/>
          <w:szCs w:val="21"/>
        </w:rPr>
        <w:t>月</w:t>
      </w:r>
      <w:r>
        <w:rPr>
          <w:rFonts w:ascii="宋体" w:cs="宋体"/>
          <w:b/>
          <w:color w:val="000000"/>
          <w:szCs w:val="21"/>
        </w:rPr>
        <w:t>02</w:t>
      </w:r>
      <w:r>
        <w:rPr>
          <w:rFonts w:hint="eastAsia" w:ascii="宋体" w:cs="宋体"/>
          <w:b/>
          <w:color w:val="000000"/>
          <w:szCs w:val="21"/>
        </w:rPr>
        <w:t>日，我公司估价师与申请人代理律师、辅拍公司工作人员以及被执行人工作人员共同对上述委托评估的房地产进行了实地查勘。对照被执行人提供且由估价委托人承办法官确认可采信的估价对象权属规划资料，委托书上记载的估价对象与同属于成都中汇制药有限公司所有的北侧另一宗地直接南北相邻，两宗地无明显分隔界线，现为“广和都市工业总部”和“广和汽车孵化园”，南侧临蜀西路的街道门牌号为“蜀西路</w:t>
      </w:r>
      <w:r>
        <w:rPr>
          <w:rFonts w:ascii="宋体" w:cs="宋体"/>
          <w:b/>
          <w:color w:val="000000"/>
          <w:szCs w:val="21"/>
        </w:rPr>
        <w:t>30</w:t>
      </w:r>
      <w:r>
        <w:rPr>
          <w:rFonts w:hint="eastAsia" w:ascii="宋体" w:cs="宋体"/>
          <w:b/>
          <w:color w:val="000000"/>
          <w:szCs w:val="21"/>
        </w:rPr>
        <w:t>号”，北侧临兴盛东路的街道门牌号为“兴盛东路</w:t>
      </w:r>
      <w:r>
        <w:rPr>
          <w:rFonts w:ascii="宋体" w:cs="宋体"/>
          <w:b/>
          <w:color w:val="000000"/>
          <w:szCs w:val="21"/>
        </w:rPr>
        <w:t>111</w:t>
      </w:r>
      <w:r>
        <w:rPr>
          <w:rFonts w:hint="eastAsia" w:ascii="宋体" w:cs="宋体"/>
          <w:b/>
          <w:color w:val="000000"/>
          <w:szCs w:val="21"/>
        </w:rPr>
        <w:t>号”；两宗地均取得了国有土地使用证，土地上均建成有建构筑物（部分建筑物已取得权证）。被执行人的工作人员现场进行了指界，与《房屋建筑面积测绘成果报告》所附平面图符合。</w:t>
      </w:r>
    </w:p>
    <w:p>
      <w:pPr>
        <w:spacing w:line="400" w:lineRule="exact"/>
        <w:ind w:firstLine="422" w:firstLineChars="200"/>
        <w:rPr>
          <w:rFonts w:ascii="宋体" w:cs="宋体"/>
          <w:b/>
          <w:color w:val="000000"/>
          <w:szCs w:val="21"/>
        </w:rPr>
      </w:pPr>
      <w:r>
        <w:rPr>
          <w:rFonts w:hint="eastAsia" w:ascii="宋体" w:cs="宋体"/>
          <w:b/>
          <w:color w:val="000000"/>
          <w:szCs w:val="21"/>
        </w:rPr>
        <w:t>本次估价范围内估价对象实体状况及具体位置由申请人代理人及权利人代表现场共同指认确定，承诺无遗漏偏差，法院委托的辅拍公司工作人员进行了见证。故本次设定以实地查勘估价对象位置与权属证明资料一致为假设前提，且具有唯一性。</w:t>
      </w:r>
    </w:p>
    <w:p>
      <w:pPr>
        <w:spacing w:line="400" w:lineRule="exact"/>
        <w:ind w:firstLine="422" w:firstLineChars="200"/>
        <w:rPr>
          <w:rFonts w:ascii="宋体" w:cs="宋体"/>
          <w:b/>
          <w:color w:val="000000"/>
          <w:szCs w:val="21"/>
        </w:rPr>
      </w:pPr>
      <w:r>
        <w:rPr>
          <w:rFonts w:ascii="宋体" w:cs="宋体"/>
          <w:b/>
          <w:color w:val="000000"/>
          <w:szCs w:val="21"/>
        </w:rPr>
        <w:t>4</w:t>
      </w:r>
      <w:r>
        <w:rPr>
          <w:rFonts w:hint="eastAsia" w:ascii="宋体" w:cs="宋体"/>
          <w:b/>
          <w:color w:val="000000"/>
          <w:szCs w:val="21"/>
        </w:rPr>
        <w:t>、根据估价委托人要求，本次估价将宗地上无证建筑纳入估价范围，当事人委托测绘机构进行了测绘，并出具了《房屋建筑面积测绘成果报告》，本次将依据该测绘报告记载的面积对地上无证建筑进行评估测算，在估价报告中进行披露和说明。</w:t>
      </w:r>
    </w:p>
    <w:p>
      <w:pPr>
        <w:spacing w:line="400" w:lineRule="exact"/>
        <w:ind w:firstLine="422" w:firstLineChars="200"/>
        <w:rPr>
          <w:rFonts w:ascii="宋体" w:cs="宋体"/>
          <w:b/>
          <w:color w:val="000000"/>
          <w:szCs w:val="21"/>
        </w:rPr>
      </w:pPr>
      <w:r>
        <w:rPr>
          <w:rFonts w:ascii="宋体" w:cs="宋体"/>
          <w:b/>
          <w:color w:val="000000"/>
          <w:szCs w:val="21"/>
        </w:rPr>
        <w:t>5</w:t>
      </w:r>
      <w:r>
        <w:rPr>
          <w:rFonts w:hint="eastAsia" w:ascii="宋体" w:cs="宋体"/>
          <w:b/>
          <w:color w:val="000000"/>
          <w:szCs w:val="21"/>
        </w:rPr>
        <w:t>、测绘报告记载共</w:t>
      </w:r>
      <w:r>
        <w:rPr>
          <w:rFonts w:ascii="宋体" w:cs="宋体"/>
          <w:b/>
          <w:color w:val="000000"/>
          <w:szCs w:val="21"/>
        </w:rPr>
        <w:t>45.69</w:t>
      </w:r>
      <w:r>
        <w:rPr>
          <w:rFonts w:hint="eastAsia" w:ascii="宋体" w:cs="宋体"/>
          <w:b/>
          <w:color w:val="000000"/>
          <w:szCs w:val="21"/>
        </w:rPr>
        <w:t>㎡的无证建筑第</w:t>
      </w:r>
      <w:r>
        <w:rPr>
          <w:rFonts w:ascii="宋体" w:cs="宋体"/>
          <w:b/>
          <w:color w:val="000000"/>
          <w:szCs w:val="21"/>
        </w:rPr>
        <w:t>2</w:t>
      </w:r>
      <w:r>
        <w:rPr>
          <w:rFonts w:hint="eastAsia" w:ascii="宋体" w:cs="宋体"/>
          <w:b/>
          <w:color w:val="000000"/>
          <w:szCs w:val="21"/>
        </w:rPr>
        <w:t>、</w:t>
      </w:r>
      <w:r>
        <w:rPr>
          <w:rFonts w:ascii="宋体" w:cs="宋体"/>
          <w:b/>
          <w:color w:val="000000"/>
          <w:szCs w:val="21"/>
        </w:rPr>
        <w:t>6</w:t>
      </w:r>
      <w:r>
        <w:rPr>
          <w:rFonts w:hint="eastAsia" w:ascii="宋体" w:cs="宋体"/>
          <w:b/>
          <w:color w:val="000000"/>
          <w:szCs w:val="21"/>
        </w:rPr>
        <w:t>、</w:t>
      </w:r>
      <w:r>
        <w:rPr>
          <w:rFonts w:ascii="宋体" w:cs="宋体"/>
          <w:b/>
          <w:color w:val="000000"/>
          <w:szCs w:val="21"/>
        </w:rPr>
        <w:t>7</w:t>
      </w:r>
      <w:r>
        <w:rPr>
          <w:rFonts w:hint="eastAsia" w:ascii="宋体" w:cs="宋体"/>
          <w:b/>
          <w:color w:val="000000"/>
          <w:szCs w:val="21"/>
        </w:rPr>
        <w:t>栋均系为园区内经营性用房提供配套服务的门卫房、小库房，不单独产生收益，故考虑其价值已体现在有证的经营性用房的评估价格中。</w:t>
      </w:r>
    </w:p>
    <w:p>
      <w:pPr>
        <w:spacing w:line="400" w:lineRule="exact"/>
        <w:ind w:firstLine="422" w:firstLineChars="200"/>
        <w:rPr>
          <w:rFonts w:ascii="宋体" w:cs="宋体"/>
          <w:b/>
          <w:color w:val="000000"/>
          <w:szCs w:val="21"/>
        </w:rPr>
      </w:pPr>
      <w:r>
        <w:rPr>
          <w:rFonts w:ascii="宋体" w:cs="宋体"/>
          <w:b/>
          <w:color w:val="000000"/>
          <w:szCs w:val="21"/>
        </w:rPr>
        <w:t>6</w:t>
      </w:r>
      <w:r>
        <w:rPr>
          <w:rFonts w:hint="eastAsia" w:ascii="宋体" w:cs="宋体"/>
          <w:b/>
          <w:color w:val="000000"/>
          <w:szCs w:val="21"/>
        </w:rPr>
        <w:t>、实地查勘估价对象出租经营，但未提供租赁合同，经沟通不考虑实际租赁对市场价值的影响，故本次设定权利人未与现承租人以外任何一方签署针对于估价对象的无限期或影响估价价值的租赁协议。</w:t>
      </w:r>
      <w:r>
        <w:rPr>
          <w:rFonts w:ascii="宋体" w:cs="宋体"/>
          <w:b/>
          <w:color w:val="000000"/>
          <w:szCs w:val="21"/>
        </w:rPr>
        <w:t xml:space="preserve"> </w:t>
      </w:r>
    </w:p>
    <w:p>
      <w:pPr>
        <w:spacing w:line="400" w:lineRule="exact"/>
        <w:ind w:firstLine="422" w:firstLineChars="200"/>
        <w:rPr>
          <w:rFonts w:ascii="宋体" w:cs="宋体"/>
          <w:b/>
          <w:color w:val="000000"/>
          <w:szCs w:val="21"/>
        </w:rPr>
      </w:pPr>
      <w:r>
        <w:rPr>
          <w:rFonts w:ascii="宋体" w:cs="宋体"/>
          <w:b/>
          <w:color w:val="000000"/>
          <w:szCs w:val="21"/>
        </w:rPr>
        <w:t>7</w:t>
      </w:r>
      <w:r>
        <w:rPr>
          <w:rFonts w:hint="eastAsia" w:ascii="宋体" w:cs="宋体"/>
          <w:b/>
          <w:color w:val="000000"/>
          <w:szCs w:val="21"/>
        </w:rPr>
        <w:t>、本估价结果反映的是估价对象房地产整体市场价值，包含了土地使用权价值（含土地出让金）、房屋固有的设施设备工程及已装修房屋室内装饰装修价值以及合理修建、持续使用的无证建筑物价值，但不包含宗地内可移动的动产价值。</w:t>
      </w:r>
    </w:p>
    <w:p>
      <w:pPr>
        <w:spacing w:line="400" w:lineRule="exact"/>
        <w:ind w:firstLine="422" w:firstLineChars="200"/>
        <w:rPr>
          <w:rFonts w:ascii="宋体" w:cs="宋体"/>
          <w:b/>
          <w:color w:val="000000"/>
          <w:szCs w:val="21"/>
        </w:rPr>
      </w:pPr>
      <w:r>
        <w:rPr>
          <w:rFonts w:ascii="宋体" w:cs="宋体"/>
          <w:b/>
          <w:color w:val="000000"/>
          <w:szCs w:val="21"/>
        </w:rPr>
        <w:t>8</w:t>
      </w:r>
      <w:r>
        <w:rPr>
          <w:rFonts w:hint="eastAsia" w:ascii="宋体" w:cs="宋体"/>
          <w:b/>
          <w:color w:val="000000"/>
          <w:szCs w:val="21"/>
        </w:rPr>
        <w:t>、估价对象所在宗地为出让工业用地，使用权终止日期为</w:t>
      </w:r>
      <w:r>
        <w:rPr>
          <w:rFonts w:ascii="宋体" w:cs="宋体"/>
          <w:b/>
          <w:color w:val="000000"/>
          <w:szCs w:val="21"/>
        </w:rPr>
        <w:t>2049</w:t>
      </w:r>
      <w:r>
        <w:rPr>
          <w:rFonts w:hint="eastAsia" w:ascii="宋体" w:cs="宋体"/>
          <w:b/>
          <w:color w:val="000000"/>
          <w:szCs w:val="21"/>
        </w:rPr>
        <w:t>年</w:t>
      </w:r>
      <w:r>
        <w:rPr>
          <w:rFonts w:ascii="宋体" w:cs="宋体"/>
          <w:b/>
          <w:color w:val="000000"/>
          <w:szCs w:val="21"/>
        </w:rPr>
        <w:t>5</w:t>
      </w:r>
      <w:r>
        <w:rPr>
          <w:rFonts w:hint="eastAsia" w:ascii="宋体" w:cs="宋体"/>
          <w:b/>
          <w:color w:val="000000"/>
          <w:szCs w:val="21"/>
        </w:rPr>
        <w:t>月</w:t>
      </w:r>
      <w:r>
        <w:rPr>
          <w:rFonts w:ascii="宋体" w:cs="宋体"/>
          <w:b/>
          <w:color w:val="000000"/>
          <w:szCs w:val="21"/>
        </w:rPr>
        <w:t>30</w:t>
      </w:r>
      <w:r>
        <w:rPr>
          <w:rFonts w:hint="eastAsia" w:ascii="宋体" w:cs="宋体"/>
          <w:b/>
          <w:color w:val="000000"/>
          <w:szCs w:val="21"/>
        </w:rPr>
        <w:t>日，至价值时点</w:t>
      </w:r>
      <w:r>
        <w:rPr>
          <w:rFonts w:ascii="宋体" w:cs="宋体"/>
          <w:b/>
          <w:color w:val="000000"/>
          <w:szCs w:val="21"/>
        </w:rPr>
        <w:t>2022</w:t>
      </w:r>
      <w:r>
        <w:rPr>
          <w:rFonts w:hint="eastAsia" w:ascii="宋体" w:cs="宋体"/>
          <w:b/>
          <w:color w:val="000000"/>
          <w:szCs w:val="21"/>
        </w:rPr>
        <w:t>年</w:t>
      </w:r>
      <w:r>
        <w:rPr>
          <w:rFonts w:ascii="宋体" w:cs="宋体"/>
          <w:b/>
          <w:color w:val="000000"/>
          <w:szCs w:val="21"/>
        </w:rPr>
        <w:t>04</w:t>
      </w:r>
      <w:r>
        <w:rPr>
          <w:rFonts w:hint="eastAsia" w:ascii="宋体" w:cs="宋体"/>
          <w:b/>
          <w:color w:val="000000"/>
          <w:szCs w:val="21"/>
        </w:rPr>
        <w:t>月</w:t>
      </w:r>
      <w:r>
        <w:rPr>
          <w:rFonts w:ascii="宋体" w:cs="宋体"/>
          <w:b/>
          <w:color w:val="000000"/>
          <w:szCs w:val="21"/>
        </w:rPr>
        <w:t>02</w:t>
      </w:r>
      <w:r>
        <w:rPr>
          <w:rFonts w:hint="eastAsia" w:ascii="宋体" w:cs="宋体"/>
          <w:b/>
          <w:color w:val="000000"/>
          <w:szCs w:val="21"/>
        </w:rPr>
        <w:t>日剩余年限约</w:t>
      </w:r>
      <w:r>
        <w:rPr>
          <w:rFonts w:ascii="宋体" w:cs="宋体"/>
          <w:b/>
          <w:color w:val="000000"/>
          <w:szCs w:val="21"/>
        </w:rPr>
        <w:t>27.16</w:t>
      </w:r>
      <w:r>
        <w:rPr>
          <w:rFonts w:hint="eastAsia" w:ascii="宋体" w:cs="宋体"/>
          <w:b/>
          <w:color w:val="000000"/>
          <w:szCs w:val="21"/>
        </w:rPr>
        <w:t>年。土地开发程度达到宗地外“六通”（通上水、通下水、通电、通讯、通气、通路），宗地内已建部分宗地内开发程度达到“六通一平”（通上水、通下水、通电、通气、通路、通讯及场地平整），路面已平整硬化。</w:t>
      </w:r>
    </w:p>
    <w:p>
      <w:pPr>
        <w:spacing w:line="400" w:lineRule="exact"/>
        <w:ind w:firstLine="422" w:firstLineChars="200"/>
        <w:rPr>
          <w:rFonts w:ascii="宋体" w:cs="宋体"/>
          <w:b/>
          <w:color w:val="000000"/>
          <w:szCs w:val="21"/>
        </w:rPr>
      </w:pPr>
      <w:r>
        <w:rPr>
          <w:rFonts w:ascii="宋体" w:cs="宋体"/>
          <w:b/>
          <w:color w:val="000000"/>
          <w:szCs w:val="21"/>
        </w:rPr>
        <w:t>9</w:t>
      </w:r>
      <w:r>
        <w:rPr>
          <w:rFonts w:hint="eastAsia" w:ascii="宋体" w:cs="宋体"/>
          <w:b/>
          <w:color w:val="000000"/>
          <w:szCs w:val="21"/>
        </w:rPr>
        <w:t>、本估价结果反映的是按照法律法规规定、交易双方各自承担税费前提下的房地产市场价值，未考虑处置拍卖可能涉及的评估费、案件诉讼及执行费用、拍卖佣金、律师费及过户手续费等相关费用对估价结果的影响，不包含交易时应缴纳的契税、中介费、增值税及附加、土地增值税、过户费、印花税等相关税费以及可能存在的滞纳金等非正常状态下费用</w:t>
      </w:r>
      <w:r>
        <w:rPr>
          <w:rFonts w:hint="eastAsia" w:ascii="宋体" w:hAnsi="宋体" w:cs="宋体"/>
          <w:b/>
          <w:color w:val="000000"/>
          <w:szCs w:val="21"/>
        </w:rPr>
        <w:t>，未考虑评估增值产生的土地增值税的影响。</w:t>
      </w:r>
    </w:p>
    <w:p>
      <w:pPr>
        <w:spacing w:line="400" w:lineRule="exact"/>
        <w:ind w:firstLine="422" w:firstLineChars="200"/>
        <w:rPr>
          <w:rFonts w:ascii="宋体" w:cs="宋体"/>
          <w:b/>
          <w:color w:val="000000"/>
          <w:szCs w:val="21"/>
        </w:rPr>
      </w:pPr>
      <w:r>
        <w:rPr>
          <w:rFonts w:ascii="宋体" w:cs="宋体"/>
          <w:b/>
          <w:color w:val="000000"/>
          <w:szCs w:val="21"/>
        </w:rPr>
        <w:t>10</w:t>
      </w:r>
      <w:r>
        <w:rPr>
          <w:rFonts w:hint="eastAsia" w:ascii="宋体" w:cs="宋体"/>
          <w:b/>
          <w:color w:val="000000"/>
          <w:szCs w:val="21"/>
        </w:rPr>
        <w:t>、本次估价结果未考虑估价对象与相邻物业（北侧宗地及地上建构筑物）若整体处置、快速变现能力劣对价值的减值影响。</w:t>
      </w:r>
    </w:p>
    <w:p>
      <w:pPr>
        <w:spacing w:line="400" w:lineRule="exact"/>
        <w:ind w:firstLine="422" w:firstLineChars="200"/>
        <w:rPr>
          <w:rFonts w:ascii="宋体" w:cs="宋体"/>
          <w:b/>
          <w:color w:val="000000"/>
          <w:szCs w:val="21"/>
        </w:rPr>
      </w:pPr>
      <w:r>
        <w:rPr>
          <w:rFonts w:ascii="宋体" w:cs="宋体"/>
          <w:b/>
          <w:color w:val="000000"/>
          <w:szCs w:val="21"/>
        </w:rPr>
        <w:t>11</w:t>
      </w:r>
      <w:r>
        <w:rPr>
          <w:rFonts w:hint="eastAsia" w:ascii="宋体" w:cs="宋体"/>
          <w:b/>
          <w:color w:val="000000"/>
          <w:szCs w:val="21"/>
        </w:rPr>
        <w:t>、本估价结果未考虑估价对象实际分类经营利用时在整体利用方式或整体处置对评估价格带来的影响。</w:t>
      </w:r>
    </w:p>
    <w:p>
      <w:pPr>
        <w:spacing w:line="400" w:lineRule="exact"/>
        <w:ind w:firstLine="422" w:firstLineChars="200"/>
        <w:rPr>
          <w:rFonts w:ascii="宋体" w:cs="宋体"/>
          <w:b/>
          <w:color w:val="000000"/>
          <w:szCs w:val="21"/>
        </w:rPr>
      </w:pPr>
      <w:r>
        <w:rPr>
          <w:rFonts w:ascii="宋体" w:hAnsi="宋体" w:cs="宋体"/>
          <w:b/>
          <w:color w:val="000000"/>
          <w:szCs w:val="21"/>
        </w:rPr>
        <w:t>12</w:t>
      </w:r>
      <w:r>
        <w:rPr>
          <w:rFonts w:hint="eastAsia" w:ascii="宋体" w:hAnsi="宋体" w:cs="宋体"/>
          <w:b/>
          <w:color w:val="000000"/>
          <w:szCs w:val="21"/>
        </w:rPr>
        <w:t>、本估价结果没有考虑新冠疫情突发新增对估价对象未来房地产市场的影响。</w:t>
      </w:r>
    </w:p>
    <w:p>
      <w:pPr>
        <w:spacing w:line="400" w:lineRule="exact"/>
        <w:ind w:firstLine="422" w:firstLineChars="200"/>
        <w:rPr>
          <w:rFonts w:ascii="宋体" w:cs="宋体"/>
          <w:b/>
          <w:color w:val="000000"/>
          <w:szCs w:val="21"/>
        </w:rPr>
      </w:pPr>
      <w:r>
        <w:rPr>
          <w:rFonts w:ascii="宋体" w:cs="宋体"/>
          <w:b/>
          <w:color w:val="000000"/>
          <w:szCs w:val="21"/>
        </w:rPr>
        <w:t>13</w:t>
      </w:r>
      <w:r>
        <w:rPr>
          <w:rFonts w:hint="eastAsia" w:ascii="宋体" w:cs="宋体"/>
          <w:b/>
          <w:color w:val="000000"/>
          <w:szCs w:val="21"/>
        </w:rPr>
        <w:t>、币种人民币，估价结果最终单价和总价均四舍五入保留至个位取整，其最终估价结果以《房地产市场价值估价结果汇总表》为准。</w:t>
      </w:r>
    </w:p>
    <w:p>
      <w:pPr>
        <w:spacing w:line="500" w:lineRule="exact"/>
        <w:jc w:val="right"/>
        <w:rPr>
          <w:rFonts w:eastAsia="黑体"/>
          <w:bCs/>
          <w:color w:val="000000"/>
          <w:sz w:val="24"/>
        </w:rPr>
      </w:pPr>
    </w:p>
    <w:p>
      <w:pPr>
        <w:spacing w:line="500" w:lineRule="exact"/>
        <w:jc w:val="right"/>
        <w:rPr>
          <w:rFonts w:eastAsia="黑体"/>
          <w:bCs/>
          <w:color w:val="000000"/>
          <w:sz w:val="24"/>
        </w:rPr>
      </w:pPr>
    </w:p>
    <w:p>
      <w:pPr>
        <w:spacing w:line="500" w:lineRule="exact"/>
        <w:jc w:val="right"/>
        <w:rPr>
          <w:rFonts w:eastAsia="黑体"/>
          <w:bCs/>
          <w:color w:val="000000"/>
          <w:sz w:val="24"/>
        </w:rPr>
      </w:pPr>
    </w:p>
    <w:p>
      <w:pPr>
        <w:spacing w:line="500" w:lineRule="exact"/>
        <w:jc w:val="right"/>
        <w:rPr>
          <w:rFonts w:eastAsia="黑体"/>
          <w:bCs/>
          <w:color w:val="000000"/>
          <w:sz w:val="24"/>
        </w:rPr>
      </w:pPr>
      <w:r>
        <w:rPr>
          <w:rFonts w:hint="eastAsia" w:eastAsia="黑体"/>
          <w:bCs/>
          <w:color w:val="000000"/>
          <w:sz w:val="24"/>
        </w:rPr>
        <w:t>四川省同正地产房地产估价有限责任公司</w:t>
      </w:r>
    </w:p>
    <w:p>
      <w:pPr>
        <w:spacing w:line="500" w:lineRule="exact"/>
        <w:ind w:right="1320"/>
        <w:jc w:val="right"/>
        <w:rPr>
          <w:rFonts w:eastAsia="黑体"/>
          <w:bCs/>
          <w:color w:val="000000"/>
          <w:sz w:val="24"/>
        </w:rPr>
      </w:pPr>
      <w:r>
        <w:rPr>
          <w:rFonts w:hint="eastAsia" w:eastAsia="黑体"/>
          <w:bCs/>
          <w:color w:val="000000"/>
          <w:sz w:val="24"/>
        </w:rPr>
        <w:t>法定代表人：</w:t>
      </w:r>
    </w:p>
    <w:p>
      <w:pPr>
        <w:pStyle w:val="16"/>
        <w:spacing w:line="500" w:lineRule="exact"/>
        <w:jc w:val="right"/>
        <w:rPr>
          <w:color w:val="000000"/>
        </w:rPr>
      </w:pPr>
      <w:r>
        <w:rPr>
          <w:rFonts w:hint="eastAsia"/>
          <w:b/>
          <w:color w:val="000000"/>
        </w:rPr>
        <w:t>二○二二年四月十八日</w:t>
      </w:r>
    </w:p>
    <w:p>
      <w:pPr>
        <w:spacing w:line="540" w:lineRule="exact"/>
        <w:jc w:val="center"/>
        <w:rPr>
          <w:rFonts w:ascii="黑体" w:eastAsia="黑体"/>
          <w:b/>
          <w:bCs/>
          <w:color w:val="000000"/>
          <w:w w:val="200"/>
          <w:sz w:val="36"/>
        </w:rPr>
      </w:pPr>
      <w:r>
        <w:rPr>
          <w:rFonts w:ascii="黑体" w:eastAsia="黑体"/>
          <w:b/>
          <w:bCs/>
          <w:color w:val="000000"/>
          <w:w w:val="200"/>
          <w:sz w:val="36"/>
        </w:rPr>
        <w:br w:type="page"/>
      </w:r>
    </w:p>
    <w:p>
      <w:pPr>
        <w:spacing w:line="540" w:lineRule="exact"/>
        <w:jc w:val="center"/>
        <w:rPr>
          <w:rFonts w:ascii="黑体" w:eastAsia="黑体"/>
          <w:b/>
          <w:bCs/>
          <w:color w:val="000000"/>
          <w:w w:val="200"/>
          <w:sz w:val="36"/>
        </w:rPr>
      </w:pPr>
      <w:r>
        <w:rPr>
          <w:rFonts w:hint="eastAsia" w:ascii="黑体" w:eastAsia="黑体"/>
          <w:b/>
          <w:bCs/>
          <w:color w:val="000000"/>
          <w:w w:val="200"/>
          <w:sz w:val="36"/>
        </w:rPr>
        <w:t>目</w:t>
      </w:r>
      <w:r>
        <w:rPr>
          <w:rFonts w:ascii="黑体" w:eastAsia="黑体"/>
          <w:b/>
          <w:bCs/>
          <w:color w:val="000000"/>
          <w:w w:val="200"/>
          <w:sz w:val="36"/>
        </w:rPr>
        <w:t xml:space="preserve">  </w:t>
      </w:r>
      <w:r>
        <w:rPr>
          <w:rFonts w:hint="eastAsia" w:ascii="黑体" w:eastAsia="黑体"/>
          <w:b/>
          <w:bCs/>
          <w:color w:val="000000"/>
          <w:w w:val="200"/>
          <w:sz w:val="36"/>
        </w:rPr>
        <w:t>录</w:t>
      </w:r>
    </w:p>
    <w:p>
      <w:pPr>
        <w:spacing w:line="540" w:lineRule="exact"/>
        <w:jc w:val="center"/>
        <w:rPr>
          <w:rFonts w:ascii="黑体" w:eastAsia="黑体"/>
          <w:color w:val="000000"/>
          <w:w w:val="200"/>
          <w:sz w:val="36"/>
        </w:rPr>
      </w:pPr>
    </w:p>
    <w:p>
      <w:pPr>
        <w:pStyle w:val="21"/>
        <w:tabs>
          <w:tab w:val="right" w:leader="hyphen" w:pos="8760"/>
        </w:tabs>
        <w:spacing w:line="420" w:lineRule="exact"/>
        <w:rPr>
          <w:rFonts w:ascii="宋体" w:cs="宋体"/>
          <w:color w:val="000000"/>
          <w:sz w:val="24"/>
        </w:rPr>
      </w:pPr>
      <w:r>
        <w:rPr>
          <w:rFonts w:ascii="宋体" w:hAnsi="宋体" w:cs="宋体"/>
          <w:color w:val="000000"/>
          <w:w w:val="200"/>
          <w:sz w:val="24"/>
        </w:rPr>
        <w:fldChar w:fldCharType="begin"/>
      </w:r>
      <w:r>
        <w:rPr>
          <w:rFonts w:ascii="宋体" w:hAnsi="宋体" w:cs="宋体"/>
          <w:color w:val="000000"/>
          <w:w w:val="200"/>
          <w:sz w:val="24"/>
        </w:rPr>
        <w:instrText xml:space="preserve">TOC \o "1-3" \h \u </w:instrText>
      </w:r>
      <w:r>
        <w:rPr>
          <w:rFonts w:ascii="宋体" w:hAnsi="宋体" w:cs="宋体"/>
          <w:color w:val="000000"/>
          <w:w w:val="200"/>
          <w:sz w:val="24"/>
        </w:rPr>
        <w:fldChar w:fldCharType="separate"/>
      </w:r>
      <w:r>
        <w:fldChar w:fldCharType="begin"/>
      </w:r>
      <w:r>
        <w:instrText xml:space="preserve"> HYPERLINK \l "_Toc16604" </w:instrText>
      </w:r>
      <w:r>
        <w:fldChar w:fldCharType="separate"/>
      </w:r>
      <w:r>
        <w:rPr>
          <w:rFonts w:hint="eastAsia" w:ascii="宋体" w:hAnsi="宋体" w:cs="宋体"/>
          <w:color w:val="000000"/>
          <w:sz w:val="24"/>
        </w:rPr>
        <w:t>估价师声明</w:t>
      </w:r>
      <w:r>
        <w:rPr>
          <w:rFonts w:ascii="宋体" w:cs="宋体"/>
          <w:color w:val="000000"/>
          <w:sz w:val="24"/>
        </w:rPr>
        <w:tab/>
      </w:r>
      <w:r>
        <w:rPr>
          <w:rFonts w:ascii="宋体" w:hAnsi="宋体" w:cs="宋体"/>
          <w:color w:val="000000"/>
          <w:sz w:val="24"/>
        </w:rPr>
        <w:t>6</w:t>
      </w:r>
      <w:r>
        <w:rPr>
          <w:rFonts w:ascii="宋体" w:hAnsi="宋体" w:cs="宋体"/>
          <w:color w:val="000000"/>
          <w:sz w:val="24"/>
        </w:rPr>
        <w:fldChar w:fldCharType="end"/>
      </w:r>
    </w:p>
    <w:p>
      <w:pPr>
        <w:pStyle w:val="21"/>
        <w:tabs>
          <w:tab w:val="right" w:leader="hyphen" w:pos="8760"/>
        </w:tabs>
        <w:spacing w:line="420" w:lineRule="exact"/>
        <w:rPr>
          <w:rFonts w:ascii="宋体" w:cs="宋体"/>
          <w:color w:val="000000"/>
          <w:sz w:val="24"/>
        </w:rPr>
      </w:pPr>
      <w:r>
        <w:fldChar w:fldCharType="begin"/>
      </w:r>
      <w:r>
        <w:instrText xml:space="preserve"> HYPERLINK \l "_Toc28209" </w:instrText>
      </w:r>
      <w:r>
        <w:fldChar w:fldCharType="separate"/>
      </w:r>
      <w:r>
        <w:rPr>
          <w:rFonts w:hint="eastAsia" w:ascii="宋体" w:hAnsi="宋体" w:cs="宋体"/>
          <w:color w:val="000000"/>
          <w:sz w:val="24"/>
        </w:rPr>
        <w:t>估价的假设限制条件</w:t>
      </w:r>
      <w:r>
        <w:rPr>
          <w:rFonts w:ascii="宋体" w:cs="宋体"/>
          <w:color w:val="000000"/>
          <w:sz w:val="24"/>
        </w:rPr>
        <w:tab/>
      </w:r>
      <w:r>
        <w:rPr>
          <w:rFonts w:ascii="宋体" w:hAnsi="宋体" w:cs="宋体"/>
          <w:color w:val="000000"/>
          <w:sz w:val="24"/>
        </w:rPr>
        <w:t>7</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"_Toc16947" </w:instrText>
      </w:r>
      <w:r>
        <w:fldChar w:fldCharType="separate"/>
      </w:r>
      <w:r>
        <w:rPr>
          <w:rFonts w:hint="eastAsia" w:ascii="宋体" w:hAnsi="宋体" w:cs="宋体"/>
          <w:color w:val="000000"/>
          <w:sz w:val="24"/>
        </w:rPr>
        <w:t>一、估价的假设条件</w:t>
      </w:r>
      <w:r>
        <w:rPr>
          <w:rFonts w:ascii="宋体" w:cs="宋体"/>
          <w:color w:val="000000"/>
          <w:sz w:val="24"/>
        </w:rPr>
        <w:tab/>
      </w:r>
      <w:r>
        <w:rPr>
          <w:rFonts w:ascii="宋体" w:hAnsi="宋体" w:cs="宋体"/>
          <w:color w:val="000000"/>
          <w:sz w:val="24"/>
        </w:rPr>
        <w:t>7</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"_Toc23576" </w:instrText>
      </w:r>
      <w:r>
        <w:fldChar w:fldCharType="separate"/>
      </w:r>
      <w:r>
        <w:rPr>
          <w:rFonts w:hint="eastAsia" w:ascii="宋体" w:hAnsi="宋体" w:cs="宋体"/>
          <w:color w:val="000000"/>
          <w:sz w:val="24"/>
        </w:rPr>
        <w:t>（一）一般假设</w:t>
      </w:r>
      <w:r>
        <w:rPr>
          <w:rFonts w:ascii="宋体" w:cs="宋体"/>
          <w:color w:val="000000"/>
          <w:sz w:val="24"/>
        </w:rPr>
        <w:tab/>
      </w:r>
      <w:r>
        <w:rPr>
          <w:rFonts w:ascii="宋体" w:hAnsi="宋体" w:cs="宋体"/>
          <w:color w:val="000000"/>
          <w:sz w:val="24"/>
        </w:rPr>
        <w:t>7</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"_Toc3801" </w:instrText>
      </w:r>
      <w:r>
        <w:fldChar w:fldCharType="separate"/>
      </w:r>
      <w:r>
        <w:rPr>
          <w:rFonts w:hint="eastAsia" w:ascii="宋体" w:hAnsi="宋体" w:cs="宋体"/>
          <w:color w:val="000000"/>
          <w:sz w:val="24"/>
        </w:rPr>
        <w:t>（二）未定事项假设</w:t>
      </w:r>
      <w:r>
        <w:rPr>
          <w:rFonts w:ascii="宋体" w:cs="宋体"/>
          <w:color w:val="000000"/>
          <w:sz w:val="24"/>
        </w:rPr>
        <w:tab/>
      </w:r>
      <w:r>
        <w:rPr>
          <w:rFonts w:ascii="宋体" w:hAnsi="宋体" w:cs="宋体"/>
          <w:color w:val="000000"/>
          <w:sz w:val="24"/>
        </w:rPr>
        <w:t>8</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"_Toc28342" </w:instrText>
      </w:r>
      <w:r>
        <w:fldChar w:fldCharType="separate"/>
      </w:r>
      <w:r>
        <w:rPr>
          <w:rFonts w:hint="eastAsia" w:ascii="宋体" w:hAnsi="宋体" w:cs="宋体"/>
          <w:color w:val="000000"/>
          <w:sz w:val="24"/>
        </w:rPr>
        <w:t>（三）背离事实假设</w:t>
      </w:r>
      <w:r>
        <w:rPr>
          <w:rFonts w:ascii="宋体" w:cs="宋体"/>
          <w:color w:val="000000"/>
          <w:sz w:val="24"/>
        </w:rPr>
        <w:tab/>
      </w:r>
      <w:r>
        <w:rPr>
          <w:rFonts w:ascii="宋体" w:hAnsi="宋体" w:cs="宋体"/>
          <w:color w:val="000000"/>
          <w:sz w:val="24"/>
        </w:rPr>
        <w:t>8</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"_Toc14956" </w:instrText>
      </w:r>
      <w:r>
        <w:fldChar w:fldCharType="separate"/>
      </w:r>
      <w:r>
        <w:rPr>
          <w:rFonts w:hint="eastAsia" w:ascii="宋体" w:hAnsi="宋体" w:cs="宋体"/>
          <w:color w:val="000000"/>
          <w:sz w:val="24"/>
        </w:rPr>
        <w:t>（四）不相一致假设</w:t>
      </w:r>
      <w:r>
        <w:rPr>
          <w:rFonts w:ascii="宋体" w:cs="宋体"/>
          <w:color w:val="000000"/>
          <w:sz w:val="24"/>
        </w:rPr>
        <w:tab/>
      </w:r>
      <w:r>
        <w:rPr>
          <w:rFonts w:ascii="宋体" w:hAnsi="宋体" w:cs="宋体"/>
          <w:color w:val="000000"/>
          <w:sz w:val="24"/>
        </w:rPr>
        <w:t>8</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"_Toc23126" </w:instrText>
      </w:r>
      <w:r>
        <w:fldChar w:fldCharType="separate"/>
      </w:r>
      <w:r>
        <w:rPr>
          <w:rFonts w:hint="eastAsia" w:ascii="宋体" w:hAnsi="宋体" w:cs="宋体"/>
          <w:color w:val="000000"/>
          <w:sz w:val="24"/>
        </w:rPr>
        <w:t>（五）依据不足假设</w:t>
      </w:r>
      <w:r>
        <w:rPr>
          <w:rFonts w:ascii="宋体" w:cs="宋体"/>
          <w:color w:val="000000"/>
          <w:sz w:val="24"/>
        </w:rPr>
        <w:tab/>
      </w:r>
      <w:r>
        <w:rPr>
          <w:rFonts w:ascii="宋体" w:hAnsi="宋体" w:cs="宋体"/>
          <w:color w:val="000000"/>
          <w:sz w:val="24"/>
        </w:rPr>
        <w:t>9</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"_Toc25255" </w:instrText>
      </w:r>
      <w:r>
        <w:fldChar w:fldCharType="separate"/>
      </w:r>
      <w:r>
        <w:rPr>
          <w:rFonts w:hint="eastAsia" w:ascii="宋体" w:hAnsi="宋体" w:cs="宋体"/>
          <w:color w:val="000000"/>
          <w:sz w:val="24"/>
        </w:rPr>
        <w:t>二、估价报告使用限制</w:t>
      </w:r>
      <w:r>
        <w:rPr>
          <w:rFonts w:ascii="宋体" w:cs="宋体"/>
          <w:color w:val="000000"/>
          <w:sz w:val="24"/>
        </w:rPr>
        <w:tab/>
      </w:r>
      <w:r>
        <w:rPr>
          <w:rFonts w:ascii="宋体" w:hAnsi="宋体" w:cs="宋体"/>
          <w:color w:val="000000"/>
          <w:sz w:val="24"/>
        </w:rPr>
        <w:t>9</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"_Toc32245" </w:instrText>
      </w:r>
      <w:r>
        <w:fldChar w:fldCharType="separate"/>
      </w:r>
      <w:r>
        <w:rPr>
          <w:rFonts w:hint="eastAsia" w:ascii="宋体" w:hAnsi="宋体" w:cs="宋体"/>
          <w:color w:val="000000"/>
          <w:sz w:val="24"/>
        </w:rPr>
        <w:t>（一）估价结果的使用说明</w:t>
      </w:r>
      <w:r>
        <w:rPr>
          <w:rFonts w:ascii="宋体" w:cs="宋体"/>
          <w:color w:val="000000"/>
          <w:sz w:val="24"/>
        </w:rPr>
        <w:tab/>
      </w:r>
      <w:r>
        <w:rPr>
          <w:rFonts w:ascii="宋体" w:hAnsi="宋体" w:cs="宋体"/>
          <w:color w:val="000000"/>
          <w:sz w:val="24"/>
        </w:rPr>
        <w:t>9</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"_Toc7161" </w:instrText>
      </w:r>
      <w:r>
        <w:fldChar w:fldCharType="separate"/>
      </w:r>
      <w:r>
        <w:rPr>
          <w:rFonts w:hint="eastAsia" w:ascii="宋体" w:hAnsi="宋体" w:cs="宋体"/>
          <w:color w:val="000000"/>
          <w:sz w:val="24"/>
        </w:rPr>
        <w:t>（二）其它说明</w:t>
      </w:r>
      <w:r>
        <w:rPr>
          <w:rFonts w:ascii="宋体" w:cs="宋体"/>
          <w:color w:val="000000"/>
          <w:sz w:val="24"/>
        </w:rPr>
        <w:tab/>
      </w:r>
      <w:r>
        <w:rPr>
          <w:rFonts w:ascii="宋体" w:hAnsi="宋体" w:cs="宋体"/>
          <w:color w:val="000000"/>
          <w:sz w:val="24"/>
        </w:rPr>
        <w:t>11</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"_Toc5109" </w:instrText>
      </w:r>
      <w:r>
        <w:fldChar w:fldCharType="separate"/>
      </w:r>
      <w:r>
        <w:rPr>
          <w:rFonts w:hint="eastAsia" w:ascii="宋体" w:hAnsi="宋体" w:cs="宋体"/>
          <w:color w:val="000000"/>
          <w:sz w:val="24"/>
        </w:rPr>
        <w:t>（三）</w:t>
      </w:r>
      <w:r>
        <w:rPr>
          <w:rFonts w:hint="eastAsia" w:ascii="宋体" w:hAnsi="宋体" w:cs="宋体"/>
          <w:snapToGrid w:val="0"/>
          <w:color w:val="000000"/>
          <w:kern w:val="0"/>
          <w:sz w:val="24"/>
        </w:rPr>
        <w:t>房地产估价报告使用提示</w:t>
      </w:r>
      <w:r>
        <w:rPr>
          <w:rFonts w:ascii="宋体" w:cs="宋体"/>
          <w:color w:val="000000"/>
          <w:sz w:val="24"/>
        </w:rPr>
        <w:tab/>
      </w:r>
      <w:r>
        <w:rPr>
          <w:rFonts w:ascii="宋体" w:hAnsi="宋体" w:cs="宋体"/>
          <w:color w:val="000000"/>
          <w:sz w:val="24"/>
        </w:rPr>
        <w:t>11</w:t>
      </w:r>
      <w:r>
        <w:rPr>
          <w:rFonts w:ascii="宋体" w:hAnsi="宋体" w:cs="宋体"/>
          <w:color w:val="000000"/>
          <w:sz w:val="24"/>
        </w:rPr>
        <w:fldChar w:fldCharType="end"/>
      </w:r>
    </w:p>
    <w:p>
      <w:pPr>
        <w:pStyle w:val="21"/>
        <w:tabs>
          <w:tab w:val="right" w:leader="hyphen" w:pos="8760"/>
        </w:tabs>
        <w:spacing w:line="420" w:lineRule="exact"/>
        <w:rPr>
          <w:rFonts w:ascii="宋体" w:cs="宋体"/>
          <w:color w:val="000000"/>
          <w:sz w:val="24"/>
        </w:rPr>
      </w:pPr>
      <w:r>
        <w:fldChar w:fldCharType="begin"/>
      </w:r>
      <w:r>
        <w:instrText xml:space="preserve"> HYPERLINK \l "_Toc29097" </w:instrText>
      </w:r>
      <w:r>
        <w:fldChar w:fldCharType="separate"/>
      </w:r>
      <w:r>
        <w:rPr>
          <w:rFonts w:hint="eastAsia" w:ascii="宋体" w:hAnsi="宋体" w:cs="宋体"/>
          <w:color w:val="000000"/>
          <w:sz w:val="24"/>
        </w:rPr>
        <w:t>房地产估价结果报告</w:t>
      </w:r>
      <w:r>
        <w:rPr>
          <w:rFonts w:ascii="宋体" w:cs="宋体"/>
          <w:color w:val="000000"/>
          <w:sz w:val="24"/>
        </w:rPr>
        <w:tab/>
      </w:r>
      <w:r>
        <w:rPr>
          <w:rFonts w:ascii="宋体" w:hAnsi="宋体" w:cs="宋体"/>
          <w:color w:val="000000"/>
          <w:sz w:val="24"/>
        </w:rPr>
        <w:t>12</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"_Toc22850" </w:instrText>
      </w:r>
      <w:r>
        <w:fldChar w:fldCharType="separate"/>
      </w:r>
      <w:r>
        <w:rPr>
          <w:rFonts w:hint="eastAsia" w:ascii="宋体" w:hAnsi="宋体" w:cs="宋体"/>
          <w:color w:val="000000"/>
          <w:sz w:val="24"/>
        </w:rPr>
        <w:t>一、估价委托人</w:t>
      </w:r>
      <w:r>
        <w:rPr>
          <w:rFonts w:ascii="宋体" w:cs="宋体"/>
          <w:color w:val="000000"/>
          <w:sz w:val="24"/>
        </w:rPr>
        <w:tab/>
      </w:r>
      <w:r>
        <w:rPr>
          <w:rFonts w:ascii="宋体" w:hAnsi="宋体" w:cs="宋体"/>
          <w:color w:val="000000"/>
          <w:sz w:val="24"/>
        </w:rPr>
        <w:t>12</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"_Toc27462" </w:instrText>
      </w:r>
      <w:r>
        <w:fldChar w:fldCharType="separate"/>
      </w:r>
      <w:r>
        <w:rPr>
          <w:rFonts w:hint="eastAsia" w:ascii="宋体" w:hAnsi="宋体" w:cs="宋体"/>
          <w:color w:val="000000"/>
          <w:sz w:val="24"/>
        </w:rPr>
        <w:t>二、房地产估价机构</w:t>
      </w:r>
      <w:r>
        <w:rPr>
          <w:rFonts w:ascii="宋体" w:cs="宋体"/>
          <w:color w:val="000000"/>
          <w:sz w:val="24"/>
        </w:rPr>
        <w:tab/>
      </w:r>
      <w:r>
        <w:rPr>
          <w:rFonts w:ascii="宋体" w:hAnsi="宋体" w:cs="宋体"/>
          <w:color w:val="000000"/>
          <w:sz w:val="24"/>
        </w:rPr>
        <w:t>12</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"_Toc14849" </w:instrText>
      </w:r>
      <w:r>
        <w:fldChar w:fldCharType="separate"/>
      </w:r>
      <w:r>
        <w:rPr>
          <w:rFonts w:hint="eastAsia" w:ascii="宋体" w:hAnsi="宋体" w:cs="宋体"/>
          <w:color w:val="000000"/>
          <w:sz w:val="24"/>
        </w:rPr>
        <w:t>三、估价目的</w:t>
      </w:r>
      <w:r>
        <w:rPr>
          <w:rFonts w:ascii="宋体" w:cs="宋体"/>
          <w:color w:val="000000"/>
          <w:sz w:val="24"/>
        </w:rPr>
        <w:tab/>
      </w:r>
      <w:r>
        <w:rPr>
          <w:rFonts w:ascii="宋体" w:hAnsi="宋体" w:cs="宋体"/>
          <w:color w:val="000000"/>
          <w:sz w:val="24"/>
        </w:rPr>
        <w:t>12</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"_Toc25069" </w:instrText>
      </w:r>
      <w:r>
        <w:fldChar w:fldCharType="separate"/>
      </w:r>
      <w:r>
        <w:rPr>
          <w:rFonts w:hint="eastAsia" w:ascii="宋体" w:hAnsi="宋体" w:cs="宋体"/>
          <w:color w:val="000000"/>
          <w:sz w:val="24"/>
        </w:rPr>
        <w:t>四、估价对象</w:t>
      </w:r>
      <w:r>
        <w:rPr>
          <w:rFonts w:ascii="宋体" w:cs="宋体"/>
          <w:color w:val="000000"/>
          <w:sz w:val="24"/>
        </w:rPr>
        <w:tab/>
      </w:r>
      <w:r>
        <w:rPr>
          <w:rFonts w:ascii="宋体" w:hAnsi="宋体" w:cs="宋体"/>
          <w:color w:val="000000"/>
          <w:sz w:val="24"/>
        </w:rPr>
        <w:t>12</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"_Toc1664" </w:instrText>
      </w:r>
      <w:r>
        <w:fldChar w:fldCharType="separate"/>
      </w:r>
      <w:r>
        <w:rPr>
          <w:rFonts w:hint="eastAsia" w:ascii="宋体" w:hAnsi="宋体" w:cs="宋体"/>
          <w:color w:val="000000"/>
          <w:sz w:val="24"/>
        </w:rPr>
        <w:t>（一）估价范围</w:t>
      </w:r>
      <w:r>
        <w:rPr>
          <w:rFonts w:ascii="宋体" w:cs="宋体"/>
          <w:color w:val="000000"/>
          <w:sz w:val="24"/>
        </w:rPr>
        <w:tab/>
      </w:r>
      <w:r>
        <w:rPr>
          <w:rFonts w:ascii="宋体" w:hAnsi="宋体" w:cs="宋体"/>
          <w:color w:val="000000"/>
          <w:sz w:val="24"/>
        </w:rPr>
        <w:t>12</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"_Toc31160" </w:instrText>
      </w:r>
      <w:r>
        <w:fldChar w:fldCharType="separate"/>
      </w:r>
      <w:r>
        <w:rPr>
          <w:rFonts w:hint="eastAsia" w:ascii="宋体" w:hAnsi="宋体" w:cs="宋体"/>
          <w:color w:val="000000"/>
          <w:sz w:val="24"/>
        </w:rPr>
        <w:t>（二）估价对象权益状况</w:t>
      </w:r>
      <w:r>
        <w:rPr>
          <w:rFonts w:ascii="宋体" w:cs="宋体"/>
          <w:color w:val="000000"/>
          <w:sz w:val="24"/>
        </w:rPr>
        <w:tab/>
      </w:r>
      <w:r>
        <w:rPr>
          <w:rFonts w:ascii="宋体" w:hAnsi="宋体" w:cs="宋体"/>
          <w:color w:val="000000"/>
          <w:sz w:val="24"/>
        </w:rPr>
        <w:t>15</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"_Toc7017" </w:instrText>
      </w:r>
      <w:r>
        <w:fldChar w:fldCharType="separate"/>
      </w:r>
      <w:r>
        <w:rPr>
          <w:rFonts w:hint="eastAsia" w:ascii="宋体" w:hAnsi="宋体" w:cs="宋体"/>
          <w:color w:val="000000"/>
          <w:sz w:val="24"/>
        </w:rPr>
        <w:t>（三）估价对象区位状况</w:t>
      </w:r>
      <w:r>
        <w:rPr>
          <w:rFonts w:ascii="宋体" w:cs="宋体"/>
          <w:color w:val="000000"/>
          <w:sz w:val="24"/>
        </w:rPr>
        <w:tab/>
      </w:r>
      <w:r>
        <w:rPr>
          <w:rFonts w:ascii="宋体" w:hAnsi="宋体" w:cs="宋体"/>
          <w:color w:val="000000"/>
          <w:sz w:val="24"/>
        </w:rPr>
        <w:t>18</w:t>
      </w:r>
      <w:r>
        <w:rPr>
          <w:rFonts w:ascii="宋体" w:hAnsi="宋体" w:cs="宋体"/>
          <w:color w:val="000000"/>
          <w:sz w:val="24"/>
        </w:rPr>
        <w:fldChar w:fldCharType="end"/>
      </w:r>
    </w:p>
    <w:p>
      <w:pPr>
        <w:pStyle w:val="14"/>
        <w:tabs>
          <w:tab w:val="right" w:leader="hyphen" w:pos="8760"/>
        </w:tabs>
        <w:spacing w:line="420" w:lineRule="exact"/>
        <w:ind w:left="31680"/>
        <w:rPr>
          <w:rFonts w:ascii="宋体" w:cs="宋体"/>
          <w:color w:val="000000"/>
          <w:sz w:val="24"/>
        </w:rPr>
      </w:pPr>
      <w:r>
        <w:fldChar w:fldCharType="begin"/>
      </w:r>
      <w:r>
        <w:instrText xml:space="preserve"> HYPERLINK \l "_Toc10678" </w:instrText>
      </w:r>
      <w:r>
        <w:fldChar w:fldCharType="separate"/>
      </w:r>
      <w:r>
        <w:rPr>
          <w:rFonts w:hint="eastAsia" w:ascii="宋体" w:hAnsi="宋体" w:cs="宋体"/>
          <w:color w:val="000000"/>
          <w:sz w:val="24"/>
        </w:rPr>
        <w:t>（四）估价对象实物状况</w:t>
      </w:r>
      <w:r>
        <w:rPr>
          <w:rFonts w:ascii="宋体" w:cs="宋体"/>
          <w:color w:val="000000"/>
          <w:sz w:val="24"/>
        </w:rPr>
        <w:tab/>
      </w:r>
      <w:r>
        <w:rPr>
          <w:rFonts w:ascii="宋体" w:hAnsi="宋体" w:cs="宋体"/>
          <w:color w:val="000000"/>
          <w:sz w:val="24"/>
        </w:rPr>
        <w:t>19</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"_Toc1189" </w:instrText>
      </w:r>
      <w:r>
        <w:fldChar w:fldCharType="separate"/>
      </w:r>
      <w:r>
        <w:rPr>
          <w:rFonts w:hint="eastAsia" w:ascii="宋体" w:hAnsi="宋体" w:cs="宋体"/>
          <w:color w:val="000000"/>
          <w:sz w:val="24"/>
        </w:rPr>
        <w:t>五、价值时点</w:t>
      </w:r>
      <w:r>
        <w:rPr>
          <w:rFonts w:ascii="宋体" w:cs="宋体"/>
          <w:color w:val="000000"/>
          <w:sz w:val="24"/>
        </w:rPr>
        <w:tab/>
      </w:r>
      <w:r>
        <w:rPr>
          <w:rFonts w:ascii="宋体" w:hAnsi="宋体" w:cs="宋体"/>
          <w:color w:val="000000"/>
          <w:sz w:val="24"/>
        </w:rPr>
        <w:t>22</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"_Toc20543" </w:instrText>
      </w:r>
      <w:r>
        <w:fldChar w:fldCharType="separate"/>
      </w:r>
      <w:r>
        <w:rPr>
          <w:rFonts w:hint="eastAsia" w:ascii="宋体" w:hAnsi="宋体" w:cs="宋体"/>
          <w:color w:val="000000"/>
          <w:sz w:val="24"/>
        </w:rPr>
        <w:t>六、价值类型</w:t>
      </w:r>
      <w:r>
        <w:rPr>
          <w:rFonts w:ascii="宋体" w:cs="宋体"/>
          <w:color w:val="000000"/>
          <w:sz w:val="24"/>
        </w:rPr>
        <w:tab/>
      </w:r>
      <w:r>
        <w:rPr>
          <w:rFonts w:ascii="宋体" w:hAnsi="宋体" w:cs="宋体"/>
          <w:color w:val="000000"/>
          <w:sz w:val="24"/>
        </w:rPr>
        <w:t>22</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"_Toc20641" </w:instrText>
      </w:r>
      <w:r>
        <w:fldChar w:fldCharType="separate"/>
      </w:r>
      <w:r>
        <w:rPr>
          <w:rFonts w:hint="eastAsia" w:ascii="宋体" w:hAnsi="宋体" w:cs="宋体"/>
          <w:color w:val="000000"/>
          <w:sz w:val="24"/>
        </w:rPr>
        <w:t>七、估价原则</w:t>
      </w:r>
      <w:r>
        <w:rPr>
          <w:rFonts w:ascii="宋体" w:cs="宋体"/>
          <w:color w:val="000000"/>
          <w:sz w:val="24"/>
        </w:rPr>
        <w:tab/>
      </w:r>
      <w:r>
        <w:rPr>
          <w:rFonts w:ascii="宋体" w:hAnsi="宋体" w:cs="宋体"/>
          <w:color w:val="000000"/>
          <w:sz w:val="24"/>
        </w:rPr>
        <w:t>23</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"_Toc7328" </w:instrText>
      </w:r>
      <w:r>
        <w:fldChar w:fldCharType="separate"/>
      </w:r>
      <w:r>
        <w:rPr>
          <w:rFonts w:hint="eastAsia" w:ascii="宋体" w:hAnsi="宋体" w:cs="宋体"/>
          <w:color w:val="000000"/>
          <w:sz w:val="24"/>
        </w:rPr>
        <w:t>八、估价依据</w:t>
      </w:r>
      <w:r>
        <w:rPr>
          <w:rFonts w:ascii="宋体" w:cs="宋体"/>
          <w:color w:val="000000"/>
          <w:sz w:val="24"/>
        </w:rPr>
        <w:tab/>
      </w:r>
      <w:r>
        <w:rPr>
          <w:rFonts w:ascii="宋体" w:hAnsi="宋体" w:cs="宋体"/>
          <w:color w:val="000000"/>
          <w:sz w:val="24"/>
        </w:rPr>
        <w:t>24</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"_Toc11551" </w:instrText>
      </w:r>
      <w:r>
        <w:fldChar w:fldCharType="separate"/>
      </w:r>
      <w:r>
        <w:rPr>
          <w:rFonts w:hint="eastAsia" w:ascii="宋体" w:hAnsi="宋体" w:cs="宋体"/>
          <w:color w:val="000000"/>
          <w:sz w:val="24"/>
        </w:rPr>
        <w:t>九、估价方法</w:t>
      </w:r>
      <w:r>
        <w:rPr>
          <w:rFonts w:ascii="宋体" w:cs="宋体"/>
          <w:color w:val="000000"/>
          <w:sz w:val="24"/>
        </w:rPr>
        <w:tab/>
      </w:r>
      <w:r>
        <w:rPr>
          <w:rFonts w:ascii="宋体" w:hAnsi="宋体" w:cs="宋体"/>
          <w:color w:val="000000"/>
          <w:sz w:val="24"/>
        </w:rPr>
        <w:t>25</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"_Toc19035" </w:instrText>
      </w:r>
      <w:r>
        <w:fldChar w:fldCharType="separate"/>
      </w:r>
      <w:r>
        <w:rPr>
          <w:rFonts w:hint="eastAsia" w:ascii="宋体" w:hAnsi="宋体" w:cs="宋体"/>
          <w:color w:val="000000"/>
          <w:sz w:val="24"/>
        </w:rPr>
        <w:t>十、估价结果</w:t>
      </w:r>
      <w:r>
        <w:rPr>
          <w:rFonts w:ascii="宋体" w:cs="宋体"/>
          <w:color w:val="000000"/>
          <w:sz w:val="24"/>
        </w:rPr>
        <w:tab/>
      </w:r>
      <w:r>
        <w:rPr>
          <w:rFonts w:ascii="宋体" w:hAnsi="宋体" w:cs="宋体"/>
          <w:color w:val="000000"/>
          <w:sz w:val="24"/>
        </w:rPr>
        <w:t>29</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"_Toc16879" </w:instrText>
      </w:r>
      <w:r>
        <w:fldChar w:fldCharType="separate"/>
      </w:r>
      <w:r>
        <w:rPr>
          <w:rFonts w:hint="eastAsia" w:ascii="宋体" w:hAnsi="宋体" w:cs="宋体"/>
          <w:color w:val="000000"/>
          <w:sz w:val="24"/>
        </w:rPr>
        <w:t>十一、注册房地产估价师</w:t>
      </w:r>
      <w:r>
        <w:rPr>
          <w:rFonts w:ascii="宋体" w:cs="宋体"/>
          <w:color w:val="000000"/>
          <w:sz w:val="24"/>
        </w:rPr>
        <w:tab/>
      </w:r>
      <w:r>
        <w:rPr>
          <w:rFonts w:ascii="宋体" w:hAnsi="宋体" w:cs="宋体"/>
          <w:color w:val="000000"/>
          <w:sz w:val="24"/>
        </w:rPr>
        <w:t>30</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"_Toc31500" </w:instrText>
      </w:r>
      <w:r>
        <w:fldChar w:fldCharType="separate"/>
      </w:r>
      <w:r>
        <w:rPr>
          <w:rFonts w:hint="eastAsia" w:ascii="宋体" w:hAnsi="宋体" w:cs="宋体"/>
          <w:color w:val="000000"/>
          <w:sz w:val="24"/>
        </w:rPr>
        <w:t>十二、实地查勘期</w:t>
      </w:r>
      <w:r>
        <w:rPr>
          <w:rFonts w:ascii="宋体" w:cs="宋体"/>
          <w:color w:val="000000"/>
          <w:sz w:val="24"/>
        </w:rPr>
        <w:tab/>
      </w:r>
      <w:r>
        <w:rPr>
          <w:rFonts w:ascii="宋体" w:hAnsi="宋体" w:cs="宋体"/>
          <w:color w:val="000000"/>
          <w:sz w:val="24"/>
        </w:rPr>
        <w:t>30</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"_Toc1817" </w:instrText>
      </w:r>
      <w:r>
        <w:fldChar w:fldCharType="separate"/>
      </w:r>
      <w:r>
        <w:rPr>
          <w:rFonts w:hint="eastAsia" w:ascii="宋体" w:hAnsi="宋体" w:cs="宋体"/>
          <w:color w:val="000000"/>
          <w:sz w:val="24"/>
        </w:rPr>
        <w:t>十三、估价作业期</w:t>
      </w:r>
      <w:r>
        <w:rPr>
          <w:rFonts w:ascii="宋体" w:cs="宋体"/>
          <w:color w:val="000000"/>
          <w:sz w:val="24"/>
        </w:rPr>
        <w:tab/>
      </w:r>
      <w:r>
        <w:rPr>
          <w:rFonts w:ascii="宋体" w:hAnsi="宋体" w:cs="宋体"/>
          <w:color w:val="000000"/>
          <w:sz w:val="24"/>
        </w:rPr>
        <w:t>30</w:t>
      </w:r>
      <w:r>
        <w:rPr>
          <w:rFonts w:ascii="宋体" w:hAnsi="宋体" w:cs="宋体"/>
          <w:color w:val="000000"/>
          <w:sz w:val="24"/>
        </w:rPr>
        <w:fldChar w:fldCharType="end"/>
      </w:r>
    </w:p>
    <w:p>
      <w:pPr>
        <w:pStyle w:val="21"/>
        <w:tabs>
          <w:tab w:val="right" w:leader="hyphen" w:pos="8760"/>
        </w:tabs>
        <w:spacing w:line="420" w:lineRule="exact"/>
        <w:rPr>
          <w:rFonts w:ascii="宋体" w:cs="宋体"/>
          <w:color w:val="000000"/>
          <w:sz w:val="24"/>
        </w:rPr>
      </w:pPr>
      <w:r>
        <w:fldChar w:fldCharType="begin"/>
      </w:r>
      <w:r>
        <w:instrText xml:space="preserve"> HYPERLINK \l "_Toc14325" </w:instrText>
      </w:r>
      <w:r>
        <w:fldChar w:fldCharType="separate"/>
      </w:r>
      <w:r>
        <w:rPr>
          <w:rFonts w:hint="eastAsia" w:ascii="宋体" w:hAnsi="宋体" w:cs="宋体"/>
          <w:color w:val="000000"/>
          <w:sz w:val="24"/>
        </w:rPr>
        <w:t>附件</w:t>
      </w:r>
      <w:r>
        <w:rPr>
          <w:rFonts w:ascii="宋体" w:cs="宋体"/>
          <w:color w:val="000000"/>
          <w:sz w:val="24"/>
        </w:rPr>
        <w:tab/>
      </w:r>
      <w:r>
        <w:rPr>
          <w:rFonts w:ascii="宋体" w:hAnsi="宋体" w:cs="宋体"/>
          <w:color w:val="000000"/>
          <w:sz w:val="24"/>
        </w:rPr>
        <w:t>31</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"_Toc29901" </w:instrText>
      </w:r>
      <w:r>
        <w:fldChar w:fldCharType="separate"/>
      </w:r>
      <w:r>
        <w:rPr>
          <w:rFonts w:hint="eastAsia" w:ascii="宋体" w:hAnsi="宋体" w:cs="宋体"/>
          <w:color w:val="000000"/>
          <w:sz w:val="24"/>
        </w:rPr>
        <w:t>估价委托书复印件</w:t>
      </w:r>
      <w:r>
        <w:rPr>
          <w:rFonts w:ascii="宋体" w:cs="宋体"/>
          <w:color w:val="000000"/>
          <w:sz w:val="24"/>
        </w:rPr>
        <w:tab/>
      </w:r>
      <w:r>
        <w:rPr>
          <w:rFonts w:ascii="宋体" w:hAnsi="宋体" w:cs="宋体"/>
          <w:color w:val="000000"/>
          <w:sz w:val="24"/>
        </w:rPr>
        <w:t>32</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"_Toc9387" </w:instrText>
      </w:r>
      <w:r>
        <w:fldChar w:fldCharType="separate"/>
      </w:r>
      <w:r>
        <w:rPr>
          <w:rFonts w:hint="eastAsia" w:ascii="宋体" w:hAnsi="宋体" w:cs="宋体"/>
          <w:color w:val="000000"/>
          <w:sz w:val="24"/>
        </w:rPr>
        <w:t>估价对象地理位置图</w:t>
      </w:r>
      <w:r>
        <w:rPr>
          <w:rFonts w:ascii="宋体" w:cs="宋体"/>
          <w:color w:val="000000"/>
          <w:sz w:val="24"/>
        </w:rPr>
        <w:tab/>
      </w:r>
      <w:r>
        <w:rPr>
          <w:rFonts w:ascii="宋体" w:hAnsi="宋体" w:cs="宋体"/>
          <w:color w:val="000000"/>
          <w:sz w:val="24"/>
        </w:rPr>
        <w:t>34</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"_Toc9162" </w:instrText>
      </w:r>
      <w:r>
        <w:fldChar w:fldCharType="separate"/>
      </w:r>
      <w:r>
        <w:rPr>
          <w:rFonts w:hint="eastAsia" w:ascii="宋体" w:hAnsi="宋体" w:cs="宋体"/>
          <w:color w:val="000000"/>
          <w:sz w:val="24"/>
        </w:rPr>
        <w:t>估价对象实地查勘情况、说明和照片（内部、外部、周围环境状况）</w:t>
      </w:r>
      <w:r>
        <w:rPr>
          <w:rFonts w:ascii="宋体" w:cs="宋体"/>
          <w:color w:val="000000"/>
          <w:sz w:val="24"/>
        </w:rPr>
        <w:tab/>
      </w:r>
      <w:r>
        <w:rPr>
          <w:rFonts w:ascii="宋体" w:hAnsi="宋体" w:cs="宋体"/>
          <w:color w:val="000000"/>
          <w:sz w:val="24"/>
        </w:rPr>
        <w:t>35</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w w:val="200"/>
          <w:sz w:val="24"/>
        </w:rPr>
      </w:pPr>
      <w:r>
        <w:fldChar w:fldCharType="begin"/>
      </w:r>
      <w:r>
        <w:instrText xml:space="preserve"> HYPERLINK \l "_Toc29811" </w:instrText>
      </w:r>
      <w:r>
        <w:fldChar w:fldCharType="separate"/>
      </w:r>
      <w:r>
        <w:rPr>
          <w:rFonts w:hint="eastAsia" w:ascii="宋体" w:hAnsi="宋体" w:cs="宋体"/>
          <w:color w:val="000000"/>
          <w:sz w:val="24"/>
        </w:rPr>
        <w:t>估价对象权属证明复印件</w:t>
      </w:r>
      <w:r>
        <w:rPr>
          <w:rFonts w:ascii="宋体" w:cs="宋体"/>
          <w:color w:val="000000"/>
          <w:sz w:val="24"/>
        </w:rPr>
        <w:tab/>
      </w:r>
      <w:r>
        <w:rPr>
          <w:rFonts w:ascii="宋体" w:hAnsi="宋体" w:cs="宋体"/>
          <w:color w:val="000000"/>
          <w:sz w:val="24"/>
        </w:rPr>
        <w:t>39</w:t>
      </w:r>
      <w:r>
        <w:rPr>
          <w:rFonts w:ascii="宋体" w:hAnsi="宋体" w:cs="宋体"/>
          <w:color w:val="000000"/>
          <w:sz w:val="24"/>
        </w:rPr>
        <w:fldChar w:fldCharType="end"/>
      </w:r>
    </w:p>
    <w:p>
      <w:pPr>
        <w:tabs>
          <w:tab w:val="right" w:leader="hyphen" w:pos="8760"/>
        </w:tabs>
        <w:spacing w:line="420" w:lineRule="exact"/>
        <w:ind w:firstLine="480" w:firstLineChars="200"/>
        <w:rPr>
          <w:rFonts w:ascii="Tahoma" w:hAnsi="Tahoma"/>
          <w:color w:val="000000"/>
          <w:sz w:val="24"/>
          <w:szCs w:val="20"/>
        </w:rPr>
      </w:pPr>
      <w:r>
        <w:rPr>
          <w:rFonts w:hint="eastAsia" w:ascii="Tahoma" w:hAnsi="Tahoma"/>
          <w:color w:val="000000"/>
          <w:sz w:val="24"/>
          <w:szCs w:val="20"/>
        </w:rPr>
        <w:t>可比实例位置图及外观照片</w:t>
      </w:r>
      <w:r>
        <w:rPr>
          <w:rFonts w:ascii="宋体" w:cs="宋体"/>
          <w:color w:val="000000"/>
          <w:sz w:val="24"/>
        </w:rPr>
        <w:t>-------------------------------------------62</w:t>
      </w:r>
    </w:p>
    <w:p>
      <w:pPr>
        <w:tabs>
          <w:tab w:val="right" w:leader="hyphen" w:pos="8760"/>
        </w:tabs>
        <w:spacing w:line="420" w:lineRule="exact"/>
        <w:ind w:firstLine="480" w:firstLineChars="200"/>
        <w:rPr>
          <w:rFonts w:ascii="Tahoma" w:hAnsi="Tahoma"/>
          <w:color w:val="000000"/>
          <w:sz w:val="24"/>
          <w:szCs w:val="20"/>
        </w:rPr>
      </w:pPr>
      <w:r>
        <w:rPr>
          <w:rFonts w:hint="eastAsia" w:ascii="Tahoma" w:hAnsi="Tahoma"/>
          <w:color w:val="000000"/>
          <w:sz w:val="24"/>
          <w:szCs w:val="20"/>
        </w:rPr>
        <w:t>没有专业帮助和未依据相关专业意见的说明</w:t>
      </w:r>
      <w:r>
        <w:rPr>
          <w:rFonts w:ascii="宋体" w:cs="宋体"/>
          <w:color w:val="000000"/>
          <w:sz w:val="24"/>
        </w:rPr>
        <w:t>-----------------------------</w:t>
      </w:r>
      <w:r>
        <w:rPr>
          <w:rFonts w:ascii="宋体" w:hAnsi="宋体" w:cs="宋体"/>
          <w:color w:val="000000"/>
          <w:sz w:val="24"/>
        </w:rPr>
        <w:t>63</w:t>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"_Toc6999" </w:instrText>
      </w:r>
      <w:r>
        <w:fldChar w:fldCharType="separate"/>
      </w:r>
      <w:r>
        <w:rPr>
          <w:rFonts w:hint="eastAsia" w:ascii="宋体" w:hAnsi="宋体" w:cs="宋体"/>
          <w:color w:val="000000"/>
          <w:sz w:val="24"/>
        </w:rPr>
        <w:t>房地产估价机构营业执照及估价资质证书复印件</w:t>
      </w:r>
      <w:r>
        <w:rPr>
          <w:rFonts w:ascii="宋体" w:cs="宋体"/>
          <w:color w:val="000000"/>
          <w:sz w:val="24"/>
        </w:rPr>
        <w:tab/>
      </w:r>
      <w:r>
        <w:rPr>
          <w:rFonts w:ascii="宋体" w:hAnsi="宋体" w:cs="宋体"/>
          <w:color w:val="000000"/>
          <w:sz w:val="24"/>
        </w:rPr>
        <w:t>64</w:t>
      </w:r>
      <w:r>
        <w:rPr>
          <w:rFonts w:ascii="宋体" w:hAnsi="宋体" w:cs="宋体"/>
          <w:color w:val="000000"/>
          <w:sz w:val="24"/>
        </w:rPr>
        <w:fldChar w:fldCharType="end"/>
      </w:r>
    </w:p>
    <w:p>
      <w:pPr>
        <w:pStyle w:val="25"/>
        <w:tabs>
          <w:tab w:val="right" w:leader="hyphen" w:pos="8760"/>
        </w:tabs>
        <w:spacing w:line="420" w:lineRule="exact"/>
        <w:ind w:left="31680"/>
        <w:rPr>
          <w:rFonts w:ascii="宋体" w:cs="宋体"/>
          <w:color w:val="000000"/>
          <w:sz w:val="24"/>
        </w:rPr>
      </w:pPr>
      <w:r>
        <w:fldChar w:fldCharType="begin"/>
      </w:r>
      <w:r>
        <w:instrText xml:space="preserve"> HYPERLINK \l "_Toc31615" </w:instrText>
      </w:r>
      <w:r>
        <w:fldChar w:fldCharType="separate"/>
      </w:r>
      <w:r>
        <w:rPr>
          <w:rFonts w:hint="eastAsia" w:ascii="宋体" w:hAnsi="宋体" w:cs="宋体"/>
          <w:color w:val="000000"/>
          <w:sz w:val="24"/>
        </w:rPr>
        <w:t>注册房地产估价师资质证书复印件</w:t>
      </w:r>
      <w:r>
        <w:rPr>
          <w:rFonts w:ascii="宋体" w:cs="宋体"/>
          <w:color w:val="000000"/>
          <w:sz w:val="24"/>
        </w:rPr>
        <w:tab/>
      </w:r>
      <w:r>
        <w:rPr>
          <w:rFonts w:ascii="宋体" w:hAnsi="宋体" w:cs="宋体"/>
          <w:color w:val="000000"/>
          <w:sz w:val="24"/>
        </w:rPr>
        <w:t>66</w:t>
      </w:r>
      <w:r>
        <w:rPr>
          <w:rFonts w:ascii="宋体" w:hAnsi="宋体" w:cs="宋体"/>
          <w:color w:val="000000"/>
          <w:sz w:val="24"/>
        </w:rPr>
        <w:fldChar w:fldCharType="end"/>
      </w:r>
    </w:p>
    <w:p>
      <w:pPr>
        <w:tabs>
          <w:tab w:val="right" w:leader="hyphen" w:pos="8760"/>
        </w:tabs>
        <w:spacing w:line="420" w:lineRule="exact"/>
        <w:rPr>
          <w:color w:val="000000"/>
        </w:rPr>
      </w:pPr>
    </w:p>
    <w:p>
      <w:pPr>
        <w:tabs>
          <w:tab w:val="right" w:leader="hyphen" w:pos="8760"/>
        </w:tabs>
        <w:spacing w:line="420" w:lineRule="exact"/>
        <w:rPr>
          <w:color w:val="000000"/>
        </w:rPr>
      </w:pPr>
    </w:p>
    <w:p>
      <w:pPr>
        <w:tabs>
          <w:tab w:val="right" w:leader="hyphen" w:pos="8760"/>
        </w:tabs>
        <w:spacing w:line="420" w:lineRule="exact"/>
        <w:rPr>
          <w:color w:val="000000"/>
        </w:rPr>
      </w:pPr>
    </w:p>
    <w:p>
      <w:pPr>
        <w:tabs>
          <w:tab w:val="right" w:leader="hyphen" w:pos="8760"/>
        </w:tabs>
        <w:spacing w:line="420" w:lineRule="exact"/>
        <w:rPr>
          <w:color w:val="000000"/>
        </w:rPr>
      </w:pPr>
    </w:p>
    <w:p>
      <w:pPr>
        <w:spacing w:line="540" w:lineRule="exact"/>
        <w:rPr>
          <w:rFonts w:ascii="黑体" w:eastAsia="黑体"/>
          <w:b/>
          <w:bCs/>
          <w:color w:val="000000"/>
          <w:w w:val="200"/>
          <w:sz w:val="36"/>
        </w:rPr>
      </w:pPr>
      <w:r>
        <w:rPr>
          <w:rFonts w:ascii="宋体" w:hAnsi="宋体" w:cs="宋体"/>
          <w:color w:val="000000"/>
          <w:w w:val="200"/>
          <w:sz w:val="24"/>
        </w:rPr>
        <w:fldChar w:fldCharType="end"/>
      </w: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rPr>
          <w:rFonts w:ascii="黑体" w:eastAsia="黑体"/>
          <w:b/>
          <w:bCs/>
          <w:color w:val="000000"/>
          <w:w w:val="200"/>
          <w:sz w:val="36"/>
        </w:rPr>
      </w:pPr>
    </w:p>
    <w:p>
      <w:pPr>
        <w:spacing w:line="540" w:lineRule="exact"/>
        <w:jc w:val="center"/>
        <w:rPr>
          <w:rFonts w:ascii="黑体" w:eastAsia="黑体"/>
          <w:b/>
          <w:bCs/>
          <w:color w:val="000000"/>
          <w:w w:val="200"/>
          <w:sz w:val="36"/>
        </w:rPr>
      </w:pPr>
    </w:p>
    <w:p>
      <w:pPr>
        <w:spacing w:line="540" w:lineRule="exact"/>
        <w:jc w:val="center"/>
        <w:rPr>
          <w:rFonts w:ascii="黑体" w:eastAsia="黑体"/>
          <w:b/>
          <w:bCs/>
          <w:color w:val="000000"/>
          <w:w w:val="200"/>
          <w:sz w:val="36"/>
        </w:rPr>
      </w:pPr>
    </w:p>
    <w:p>
      <w:pPr>
        <w:spacing w:line="540" w:lineRule="exact"/>
        <w:jc w:val="center"/>
        <w:rPr>
          <w:rFonts w:ascii="黑体" w:eastAsia="黑体"/>
          <w:b/>
          <w:color w:val="000000"/>
          <w:w w:val="200"/>
          <w:sz w:val="32"/>
        </w:rPr>
      </w:pPr>
      <w:r>
        <w:rPr>
          <w:rFonts w:hint="eastAsia" w:ascii="黑体" w:eastAsia="黑体"/>
          <w:b/>
          <w:bCs/>
          <w:color w:val="000000"/>
          <w:w w:val="200"/>
          <w:sz w:val="36"/>
        </w:rPr>
        <w:t>估价师声明</w:t>
      </w:r>
    </w:p>
    <w:p>
      <w:pPr>
        <w:spacing w:line="500" w:lineRule="exact"/>
        <w:rPr>
          <w:b/>
          <w:snapToGrid w:val="0"/>
          <w:color w:val="000000"/>
          <w:kern w:val="0"/>
        </w:rPr>
      </w:pPr>
    </w:p>
    <w:p>
      <w:pPr>
        <w:pStyle w:val="16"/>
        <w:spacing w:line="500" w:lineRule="exact"/>
        <w:rPr>
          <w:rFonts w:eastAsia="黑体"/>
          <w:bCs/>
          <w:color w:val="000000"/>
          <w:szCs w:val="24"/>
        </w:rPr>
      </w:pPr>
      <w:r>
        <w:rPr>
          <w:rFonts w:hint="eastAsia" w:ascii="宋体"/>
          <w:b/>
          <w:color w:val="000000"/>
        </w:rPr>
        <w:t>我们郑重声明</w:t>
      </w:r>
      <w:r>
        <w:rPr>
          <w:rFonts w:hint="eastAsia" w:eastAsia="黑体"/>
          <w:bCs/>
          <w:color w:val="000000"/>
          <w:szCs w:val="24"/>
        </w:rPr>
        <w:t>：</w:t>
      </w:r>
    </w:p>
    <w:p>
      <w:pPr>
        <w:spacing w:line="500" w:lineRule="exact"/>
        <w:ind w:firstLine="480" w:firstLineChars="200"/>
        <w:rPr>
          <w:color w:val="000000"/>
          <w:sz w:val="24"/>
        </w:rPr>
      </w:pPr>
      <w:r>
        <w:rPr>
          <w:color w:val="000000"/>
          <w:sz w:val="24"/>
        </w:rPr>
        <w:t>1</w:t>
      </w:r>
      <w:r>
        <w:rPr>
          <w:rFonts w:hint="eastAsia"/>
          <w:color w:val="000000"/>
          <w:sz w:val="24"/>
        </w:rPr>
        <w:t>、我们在估价报告中对事实的说明是真实和准确的，没有虚假记载、误导性陈述和重大遗漏。</w:t>
      </w:r>
    </w:p>
    <w:p>
      <w:pPr>
        <w:spacing w:line="500" w:lineRule="exact"/>
        <w:rPr>
          <w:color w:val="000000"/>
          <w:sz w:val="24"/>
        </w:rPr>
      </w:pPr>
      <w:r>
        <w:rPr>
          <w:color w:val="000000"/>
          <w:sz w:val="24"/>
        </w:rPr>
        <w:t xml:space="preserve">    2</w:t>
      </w:r>
      <w:r>
        <w:rPr>
          <w:rFonts w:hint="eastAsia"/>
          <w:color w:val="000000"/>
          <w:sz w:val="24"/>
        </w:rPr>
        <w:t>、本估价报告中的分析、意见和结论是我们独立、客观、公正的专业分析、意见和结论，但受到本估价报告中已说明的假设和限制条件以及使用报告说明的限制。</w:t>
      </w:r>
    </w:p>
    <w:p>
      <w:pPr>
        <w:spacing w:line="500" w:lineRule="exact"/>
        <w:rPr>
          <w:color w:val="000000"/>
          <w:sz w:val="24"/>
        </w:rPr>
      </w:pPr>
      <w:r>
        <w:rPr>
          <w:color w:val="000000"/>
          <w:sz w:val="24"/>
        </w:rPr>
        <w:t xml:space="preserve">    3</w:t>
      </w:r>
      <w:r>
        <w:rPr>
          <w:rFonts w:hint="eastAsia"/>
          <w:color w:val="000000"/>
          <w:sz w:val="24"/>
        </w:rPr>
        <w:t>、我们与本估价报告中的估价对象没有现实或潜在的利益，与估价委托人及估价利害关系人没有利害关系，也对估价对象、估价委托人及估价利害关系人没有偏见。</w:t>
      </w:r>
    </w:p>
    <w:p>
      <w:pPr>
        <w:spacing w:line="500" w:lineRule="exact"/>
        <w:ind w:firstLine="480" w:firstLineChars="200"/>
        <w:rPr>
          <w:color w:val="000000"/>
          <w:sz w:val="24"/>
        </w:rPr>
      </w:pPr>
      <w:r>
        <w:rPr>
          <w:color w:val="000000"/>
          <w:sz w:val="24"/>
        </w:rPr>
        <w:t>4</w:t>
      </w:r>
      <w:r>
        <w:rPr>
          <w:rFonts w:hint="eastAsia"/>
          <w:color w:val="000000"/>
          <w:sz w:val="24"/>
        </w:rPr>
        <w:t>、我们按照中华人民共和国国家标准</w:t>
      </w:r>
      <w:r>
        <w:rPr>
          <w:color w:val="000000"/>
          <w:sz w:val="24"/>
        </w:rPr>
        <w:t>GB/T50291</w:t>
      </w:r>
      <w:r>
        <w:rPr>
          <w:rFonts w:hint="eastAsia"/>
          <w:color w:val="000000"/>
          <w:sz w:val="24"/>
        </w:rPr>
        <w:t>－</w:t>
      </w:r>
      <w:r>
        <w:rPr>
          <w:color w:val="000000"/>
          <w:sz w:val="24"/>
        </w:rPr>
        <w:t>2015</w:t>
      </w:r>
      <w:r>
        <w:rPr>
          <w:rFonts w:hint="eastAsia"/>
          <w:color w:val="000000"/>
          <w:sz w:val="24"/>
        </w:rPr>
        <w:t>《房地产估价规范》、</w:t>
      </w:r>
      <w:r>
        <w:rPr>
          <w:color w:val="000000"/>
          <w:sz w:val="24"/>
        </w:rPr>
        <w:t>GB/T50899</w:t>
      </w:r>
      <w:r>
        <w:rPr>
          <w:rFonts w:hint="eastAsia"/>
          <w:color w:val="000000"/>
          <w:sz w:val="24"/>
        </w:rPr>
        <w:t>－</w:t>
      </w:r>
      <w:r>
        <w:rPr>
          <w:color w:val="000000"/>
          <w:sz w:val="24"/>
        </w:rPr>
        <w:t>2013</w:t>
      </w:r>
      <w:r>
        <w:rPr>
          <w:rFonts w:hint="eastAsia"/>
          <w:color w:val="000000"/>
          <w:sz w:val="24"/>
        </w:rPr>
        <w:t>《房地产估价基本术语标准》进行分析，形成意见和结论，撰写本估价报告。</w:t>
      </w:r>
    </w:p>
    <w:p>
      <w:pPr>
        <w:spacing w:line="500" w:lineRule="exact"/>
        <w:ind w:firstLine="480" w:firstLineChars="200"/>
        <w:rPr>
          <w:color w:val="000000"/>
          <w:sz w:val="24"/>
        </w:rPr>
      </w:pPr>
      <w:r>
        <w:rPr>
          <w:color w:val="000000"/>
          <w:sz w:val="24"/>
        </w:rPr>
        <w:t>5</w:t>
      </w:r>
      <w:r>
        <w:rPr>
          <w:rFonts w:hint="eastAsia"/>
          <w:color w:val="000000"/>
          <w:sz w:val="24"/>
        </w:rPr>
        <w:t>、注册房地产估价师文强、陈亭以及专职房地产估价人员向玥纯于</w:t>
      </w:r>
      <w:r>
        <w:rPr>
          <w:color w:val="000000"/>
          <w:sz w:val="24"/>
        </w:rPr>
        <w:t>2022</w:t>
      </w:r>
      <w:r>
        <w:rPr>
          <w:rFonts w:hint="eastAsia"/>
          <w:color w:val="000000"/>
          <w:sz w:val="24"/>
        </w:rPr>
        <w:t>年</w:t>
      </w:r>
      <w:r>
        <w:rPr>
          <w:color w:val="000000"/>
          <w:sz w:val="24"/>
        </w:rPr>
        <w:t>04</w:t>
      </w:r>
      <w:r>
        <w:rPr>
          <w:rFonts w:hint="eastAsia"/>
          <w:color w:val="000000"/>
          <w:sz w:val="24"/>
        </w:rPr>
        <w:t>月</w:t>
      </w:r>
      <w:r>
        <w:rPr>
          <w:color w:val="000000"/>
          <w:sz w:val="24"/>
        </w:rPr>
        <w:t>02</w:t>
      </w:r>
      <w:r>
        <w:rPr>
          <w:rFonts w:hint="eastAsia"/>
          <w:color w:val="000000"/>
          <w:sz w:val="24"/>
        </w:rPr>
        <w:t>日对本估价报告中的估价对象进行了实地查勘。</w:t>
      </w:r>
    </w:p>
    <w:p>
      <w:pPr>
        <w:spacing w:line="500" w:lineRule="exact"/>
        <w:ind w:firstLine="480" w:firstLineChars="200"/>
        <w:rPr>
          <w:color w:val="000000"/>
          <w:sz w:val="24"/>
        </w:rPr>
      </w:pPr>
      <w:r>
        <w:rPr>
          <w:color w:val="000000"/>
          <w:sz w:val="24"/>
        </w:rPr>
        <w:t>6</w:t>
      </w:r>
      <w:r>
        <w:rPr>
          <w:rFonts w:hint="eastAsia"/>
          <w:color w:val="000000"/>
          <w:sz w:val="24"/>
        </w:rPr>
        <w:t>、参与本房地产估价报告的专职注册房地产估价师和专业房地产估价人员具备相应的房地产市场分析能力。</w:t>
      </w:r>
    </w:p>
    <w:p>
      <w:pPr>
        <w:spacing w:line="500" w:lineRule="exact"/>
        <w:ind w:firstLine="480" w:firstLineChars="200"/>
        <w:rPr>
          <w:color w:val="000000"/>
          <w:sz w:val="24"/>
        </w:rPr>
      </w:pPr>
    </w:p>
    <w:p>
      <w:pPr>
        <w:spacing w:line="500" w:lineRule="exact"/>
        <w:ind w:firstLine="424" w:firstLineChars="177"/>
        <w:rPr>
          <w:color w:val="000000"/>
          <w:sz w:val="24"/>
        </w:rPr>
      </w:pPr>
      <w:r>
        <w:rPr>
          <w:rFonts w:hint="eastAsia"/>
          <w:color w:val="000000"/>
          <w:sz w:val="24"/>
        </w:rPr>
        <w:t>姓</w:t>
      </w:r>
      <w:r>
        <w:rPr>
          <w:color w:val="000000"/>
          <w:sz w:val="24"/>
        </w:rPr>
        <w:t xml:space="preserve">  </w:t>
      </w:r>
      <w:r>
        <w:rPr>
          <w:rFonts w:hint="eastAsia"/>
          <w:color w:val="000000"/>
          <w:sz w:val="24"/>
        </w:rPr>
        <w:t>名</w:t>
      </w:r>
      <w:r>
        <w:rPr>
          <w:color w:val="000000"/>
          <w:sz w:val="24"/>
        </w:rPr>
        <w:t xml:space="preserve">            </w:t>
      </w:r>
      <w:r>
        <w:rPr>
          <w:rFonts w:hint="eastAsia"/>
          <w:color w:val="000000"/>
          <w:sz w:val="24"/>
        </w:rPr>
        <w:t>注册号</w:t>
      </w:r>
      <w:r>
        <w:rPr>
          <w:color w:val="000000"/>
          <w:sz w:val="24"/>
        </w:rPr>
        <w:t xml:space="preserve">                </w:t>
      </w:r>
      <w:r>
        <w:rPr>
          <w:rFonts w:hint="eastAsia"/>
          <w:color w:val="000000"/>
          <w:sz w:val="24"/>
        </w:rPr>
        <w:t>签</w:t>
      </w:r>
      <w:r>
        <w:rPr>
          <w:color w:val="000000"/>
          <w:sz w:val="24"/>
        </w:rPr>
        <w:t xml:space="preserve">  </w:t>
      </w:r>
      <w:r>
        <w:rPr>
          <w:rFonts w:hint="eastAsia"/>
          <w:color w:val="000000"/>
          <w:sz w:val="24"/>
        </w:rPr>
        <w:t>名</w:t>
      </w:r>
      <w:r>
        <w:rPr>
          <w:color w:val="000000"/>
          <w:sz w:val="24"/>
        </w:rPr>
        <w:t xml:space="preserve">             </w:t>
      </w:r>
      <w:r>
        <w:rPr>
          <w:rFonts w:hint="eastAsia"/>
          <w:color w:val="000000"/>
          <w:sz w:val="24"/>
        </w:rPr>
        <w:t>签名日期</w:t>
      </w:r>
    </w:p>
    <w:p>
      <w:pPr>
        <w:spacing w:line="500" w:lineRule="exact"/>
        <w:ind w:firstLine="424" w:firstLineChars="177"/>
        <w:rPr>
          <w:color w:val="000000"/>
          <w:sz w:val="24"/>
        </w:rPr>
      </w:pPr>
    </w:p>
    <w:p>
      <w:pPr>
        <w:spacing w:line="500" w:lineRule="exact"/>
        <w:ind w:firstLine="424" w:firstLineChars="177"/>
        <w:rPr>
          <w:color w:val="000000"/>
          <w:sz w:val="24"/>
        </w:rPr>
      </w:pPr>
      <w:r>
        <w:rPr>
          <w:rFonts w:hint="eastAsia"/>
          <w:color w:val="000000"/>
          <w:sz w:val="24"/>
        </w:rPr>
        <w:t>文</w:t>
      </w:r>
      <w:r>
        <w:rPr>
          <w:color w:val="000000"/>
          <w:sz w:val="24"/>
        </w:rPr>
        <w:t xml:space="preserve">  </w:t>
      </w:r>
      <w:r>
        <w:rPr>
          <w:rFonts w:hint="eastAsia"/>
          <w:color w:val="000000"/>
          <w:sz w:val="24"/>
        </w:rPr>
        <w:t>强</w:t>
      </w:r>
      <w:r>
        <w:rPr>
          <w:color w:val="000000"/>
          <w:sz w:val="24"/>
        </w:rPr>
        <w:t xml:space="preserve">          5120140027                            2022</w:t>
      </w:r>
      <w:r>
        <w:rPr>
          <w:rFonts w:hint="eastAsia"/>
          <w:color w:val="000000"/>
          <w:sz w:val="24"/>
        </w:rPr>
        <w:t>年</w:t>
      </w:r>
      <w:r>
        <w:rPr>
          <w:color w:val="000000"/>
          <w:sz w:val="24"/>
        </w:rPr>
        <w:t>04</w:t>
      </w:r>
      <w:r>
        <w:rPr>
          <w:rFonts w:hint="eastAsia"/>
          <w:color w:val="000000"/>
          <w:sz w:val="24"/>
        </w:rPr>
        <w:t>月</w:t>
      </w:r>
      <w:r>
        <w:rPr>
          <w:color w:val="000000"/>
          <w:sz w:val="24"/>
        </w:rPr>
        <w:t>18</w:t>
      </w:r>
      <w:r>
        <w:rPr>
          <w:rFonts w:hint="eastAsia"/>
          <w:color w:val="000000"/>
          <w:sz w:val="24"/>
        </w:rPr>
        <w:t>日</w:t>
      </w:r>
      <w:r>
        <w:rPr>
          <w:color w:val="000000"/>
          <w:sz w:val="24"/>
        </w:rPr>
        <w:t xml:space="preserve"> </w:t>
      </w:r>
    </w:p>
    <w:p>
      <w:pPr>
        <w:spacing w:line="500" w:lineRule="exact"/>
        <w:ind w:firstLine="424" w:firstLineChars="177"/>
        <w:rPr>
          <w:color w:val="000000"/>
          <w:sz w:val="24"/>
        </w:rPr>
      </w:pPr>
    </w:p>
    <w:p>
      <w:pPr>
        <w:spacing w:line="500" w:lineRule="exact"/>
        <w:ind w:firstLine="424" w:firstLineChars="177"/>
        <w:rPr>
          <w:color w:val="000000"/>
          <w:sz w:val="24"/>
        </w:rPr>
      </w:pPr>
      <w:r>
        <w:rPr>
          <w:rFonts w:hint="eastAsia"/>
          <w:color w:val="000000"/>
          <w:sz w:val="24"/>
        </w:rPr>
        <w:t>陈</w:t>
      </w:r>
      <w:r>
        <w:rPr>
          <w:color w:val="000000"/>
          <w:sz w:val="24"/>
        </w:rPr>
        <w:t xml:space="preserve">  </w:t>
      </w:r>
      <w:r>
        <w:rPr>
          <w:rFonts w:hint="eastAsia"/>
          <w:color w:val="000000"/>
          <w:sz w:val="24"/>
        </w:rPr>
        <w:t>亭</w:t>
      </w:r>
      <w:r>
        <w:rPr>
          <w:color w:val="000000"/>
          <w:sz w:val="24"/>
        </w:rPr>
        <w:t xml:space="preserve">          </w:t>
      </w:r>
      <w:r>
        <w:rPr>
          <w:bCs/>
          <w:snapToGrid w:val="0"/>
          <w:color w:val="000000"/>
          <w:kern w:val="0"/>
          <w:sz w:val="24"/>
        </w:rPr>
        <w:t xml:space="preserve">5120000085 </w:t>
      </w:r>
      <w:r>
        <w:rPr>
          <w:color w:val="000000"/>
          <w:sz w:val="24"/>
        </w:rPr>
        <w:t xml:space="preserve">                           2022</w:t>
      </w:r>
      <w:r>
        <w:rPr>
          <w:rFonts w:hint="eastAsia"/>
          <w:color w:val="000000"/>
          <w:sz w:val="24"/>
        </w:rPr>
        <w:t>年</w:t>
      </w:r>
      <w:r>
        <w:rPr>
          <w:color w:val="000000"/>
          <w:sz w:val="24"/>
        </w:rPr>
        <w:t>04</w:t>
      </w:r>
      <w:r>
        <w:rPr>
          <w:rFonts w:hint="eastAsia"/>
          <w:color w:val="000000"/>
          <w:sz w:val="24"/>
        </w:rPr>
        <w:t>月</w:t>
      </w:r>
      <w:r>
        <w:rPr>
          <w:color w:val="000000"/>
          <w:sz w:val="24"/>
        </w:rPr>
        <w:t>18</w:t>
      </w:r>
      <w:r>
        <w:rPr>
          <w:rFonts w:hint="eastAsia"/>
          <w:color w:val="000000"/>
          <w:sz w:val="24"/>
        </w:rPr>
        <w:t>日</w:t>
      </w:r>
    </w:p>
    <w:p>
      <w:pPr>
        <w:spacing w:line="500" w:lineRule="exact"/>
        <w:ind w:firstLine="424" w:firstLineChars="177"/>
        <w:rPr>
          <w:color w:val="000000"/>
          <w:sz w:val="24"/>
        </w:rPr>
      </w:pPr>
    </w:p>
    <w:p>
      <w:pPr>
        <w:spacing w:line="500" w:lineRule="exact"/>
        <w:ind w:firstLine="424" w:firstLineChars="177"/>
        <w:rPr>
          <w:color w:val="000000"/>
          <w:sz w:val="24"/>
        </w:rPr>
      </w:pPr>
      <w:r>
        <w:rPr>
          <w:rFonts w:hint="eastAsia"/>
          <w:color w:val="000000"/>
          <w:sz w:val="24"/>
        </w:rPr>
        <w:t>向玥纯</w:t>
      </w:r>
      <w:r>
        <w:rPr>
          <w:color w:val="000000"/>
          <w:sz w:val="24"/>
        </w:rPr>
        <w:t xml:space="preserve">               /                                 2022</w:t>
      </w:r>
      <w:r>
        <w:rPr>
          <w:rFonts w:hint="eastAsia"/>
          <w:color w:val="000000"/>
          <w:sz w:val="24"/>
        </w:rPr>
        <w:t>年</w:t>
      </w:r>
      <w:r>
        <w:rPr>
          <w:color w:val="000000"/>
          <w:sz w:val="24"/>
        </w:rPr>
        <w:t>04</w:t>
      </w:r>
      <w:r>
        <w:rPr>
          <w:rFonts w:hint="eastAsia"/>
          <w:color w:val="000000"/>
          <w:sz w:val="24"/>
        </w:rPr>
        <w:t>月</w:t>
      </w:r>
      <w:r>
        <w:rPr>
          <w:color w:val="000000"/>
          <w:sz w:val="24"/>
        </w:rPr>
        <w:t>18</w:t>
      </w:r>
      <w:r>
        <w:rPr>
          <w:rFonts w:hint="eastAsia"/>
          <w:color w:val="000000"/>
          <w:sz w:val="24"/>
        </w:rPr>
        <w:t>日</w:t>
      </w:r>
    </w:p>
    <w:p>
      <w:pPr>
        <w:pStyle w:val="16"/>
        <w:spacing w:line="500" w:lineRule="exact"/>
        <w:jc w:val="right"/>
        <w:rPr>
          <w:color w:val="000000"/>
          <w:szCs w:val="24"/>
        </w:rPr>
      </w:pPr>
    </w:p>
    <w:p>
      <w:pPr>
        <w:pStyle w:val="16"/>
        <w:spacing w:line="500" w:lineRule="exact"/>
        <w:jc w:val="right"/>
        <w:rPr>
          <w:color w:val="000000"/>
          <w:szCs w:val="24"/>
        </w:rPr>
      </w:pPr>
      <w:r>
        <w:rPr>
          <w:color w:val="000000"/>
          <w:szCs w:val="24"/>
        </w:rPr>
        <w:t xml:space="preserve"> </w:t>
      </w:r>
      <w:r>
        <w:rPr>
          <w:rFonts w:hint="eastAsia"/>
          <w:color w:val="000000"/>
          <w:szCs w:val="24"/>
        </w:rPr>
        <w:t>二○二二年四月十八日</w:t>
      </w:r>
    </w:p>
    <w:p>
      <w:pPr>
        <w:widowControl/>
        <w:jc w:val="left"/>
        <w:rPr>
          <w:rFonts w:ascii="黑体" w:eastAsia="黑体"/>
          <w:b/>
          <w:bCs/>
          <w:color w:val="000000"/>
          <w:w w:val="200"/>
          <w:sz w:val="36"/>
        </w:rPr>
      </w:pPr>
      <w:r>
        <w:rPr>
          <w:rFonts w:ascii="黑体" w:eastAsia="黑体"/>
          <w:b/>
          <w:bCs/>
          <w:color w:val="000000"/>
          <w:w w:val="200"/>
          <w:sz w:val="36"/>
        </w:rPr>
        <w:br w:type="page"/>
      </w:r>
    </w:p>
    <w:p>
      <w:pPr>
        <w:spacing w:line="480" w:lineRule="exact"/>
        <w:jc w:val="center"/>
        <w:rPr>
          <w:rFonts w:ascii="黑体" w:eastAsia="黑体"/>
          <w:b/>
          <w:bCs/>
          <w:color w:val="000000"/>
          <w:w w:val="200"/>
          <w:sz w:val="36"/>
        </w:rPr>
      </w:pPr>
    </w:p>
    <w:p>
      <w:pPr>
        <w:spacing w:line="480" w:lineRule="exact"/>
        <w:jc w:val="center"/>
        <w:rPr>
          <w:rFonts w:ascii="黑体" w:eastAsia="黑体"/>
          <w:b/>
          <w:bCs/>
          <w:color w:val="000000"/>
          <w:w w:val="200"/>
          <w:sz w:val="36"/>
        </w:rPr>
      </w:pPr>
      <w:r>
        <w:rPr>
          <w:rFonts w:hint="eastAsia" w:ascii="黑体" w:eastAsia="黑体"/>
          <w:b/>
          <w:bCs/>
          <w:color w:val="000000"/>
          <w:w w:val="200"/>
          <w:sz w:val="36"/>
        </w:rPr>
        <w:t>估价的假设限制条件</w:t>
      </w:r>
    </w:p>
    <w:p>
      <w:pPr>
        <w:pStyle w:val="16"/>
        <w:spacing w:line="500" w:lineRule="exact"/>
        <w:rPr>
          <w:rFonts w:ascii="宋体"/>
          <w:b/>
          <w:color w:val="000000"/>
        </w:rPr>
      </w:pPr>
    </w:p>
    <w:p>
      <w:pPr>
        <w:pStyle w:val="16"/>
        <w:spacing w:line="500" w:lineRule="exact"/>
        <w:rPr>
          <w:rFonts w:ascii="宋体"/>
          <w:b/>
          <w:color w:val="000000"/>
        </w:rPr>
      </w:pPr>
      <w:r>
        <w:rPr>
          <w:rFonts w:hint="eastAsia" w:ascii="宋体"/>
          <w:b/>
          <w:color w:val="000000"/>
        </w:rPr>
        <w:t>一、估价的假设条件</w:t>
      </w:r>
    </w:p>
    <w:p>
      <w:pPr>
        <w:spacing w:line="500" w:lineRule="exact"/>
        <w:ind w:firstLine="472" w:firstLineChars="196"/>
        <w:outlineLvl w:val="0"/>
        <w:rPr>
          <w:b/>
          <w:color w:val="000000"/>
          <w:sz w:val="24"/>
        </w:rPr>
      </w:pPr>
      <w:r>
        <w:rPr>
          <w:rFonts w:hint="eastAsia"/>
          <w:b/>
          <w:color w:val="000000"/>
          <w:sz w:val="24"/>
        </w:rPr>
        <w:t>（一）一般假设</w:t>
      </w:r>
    </w:p>
    <w:p>
      <w:pPr>
        <w:spacing w:line="500" w:lineRule="exact"/>
        <w:ind w:firstLine="480" w:firstLineChars="200"/>
        <w:rPr>
          <w:color w:val="000000"/>
          <w:sz w:val="24"/>
        </w:rPr>
      </w:pPr>
      <w:r>
        <w:rPr>
          <w:color w:val="000000"/>
          <w:sz w:val="24"/>
        </w:rPr>
        <w:t>1</w:t>
      </w:r>
      <w:r>
        <w:rPr>
          <w:rFonts w:hint="eastAsia"/>
          <w:color w:val="000000"/>
          <w:sz w:val="24"/>
        </w:rPr>
        <w:t>、本次估价以估价委托人提供的【（</w:t>
      </w:r>
      <w:r>
        <w:rPr>
          <w:color w:val="000000"/>
          <w:sz w:val="24"/>
        </w:rPr>
        <w:t>2021</w:t>
      </w:r>
      <w:r>
        <w:rPr>
          <w:rFonts w:hint="eastAsia"/>
          <w:color w:val="000000"/>
          <w:sz w:val="24"/>
        </w:rPr>
        <w:t>）川</w:t>
      </w:r>
      <w:r>
        <w:rPr>
          <w:color w:val="000000"/>
          <w:sz w:val="24"/>
        </w:rPr>
        <w:t>01</w:t>
      </w:r>
      <w:r>
        <w:rPr>
          <w:rFonts w:hint="eastAsia"/>
          <w:color w:val="000000"/>
          <w:sz w:val="24"/>
        </w:rPr>
        <w:t>执恢</w:t>
      </w:r>
      <w:r>
        <w:rPr>
          <w:color w:val="000000"/>
          <w:sz w:val="24"/>
        </w:rPr>
        <w:t>501</w:t>
      </w:r>
      <w:r>
        <w:rPr>
          <w:rFonts w:hint="eastAsia"/>
          <w:color w:val="000000"/>
          <w:sz w:val="24"/>
        </w:rPr>
        <w:t>号《四川省成都市中级人民法院委托书》】、【《房屋建筑面积测绘成果报告（建筑面积实测）》成勘测</w:t>
      </w:r>
      <w:r>
        <w:rPr>
          <w:color w:val="000000"/>
          <w:sz w:val="24"/>
        </w:rPr>
        <w:t>S2022-12466-1</w:t>
      </w:r>
      <w:r>
        <w:rPr>
          <w:rFonts w:hint="eastAsia"/>
          <w:color w:val="000000"/>
          <w:sz w:val="24"/>
        </w:rPr>
        <w:t>】以及被执行人提供的由估价委托人确认可采纳的估价对象的权属及规划资料（复印件）记载的信息为估价依据。设定上述资料真实、合法、完整、有效为估价的假设前提。因上述资料失实造成估价结果有误，估价机构和估价人员不承担相应责任。</w:t>
      </w:r>
      <w:r>
        <w:rPr>
          <w:rFonts w:hint="eastAsia"/>
          <w:snapToGrid w:val="0"/>
          <w:color w:val="000000"/>
          <w:spacing w:val="-2"/>
          <w:kern w:val="0"/>
          <w:sz w:val="24"/>
        </w:rPr>
        <w:t>本次估价以所有资料复印件内容与原件记载一致为假设前提。</w:t>
      </w:r>
    </w:p>
    <w:p>
      <w:pPr>
        <w:spacing w:line="460" w:lineRule="exact"/>
        <w:ind w:firstLine="450"/>
        <w:rPr>
          <w:color w:val="000000"/>
          <w:sz w:val="24"/>
        </w:rPr>
      </w:pPr>
      <w:r>
        <w:rPr>
          <w:color w:val="000000"/>
          <w:sz w:val="24"/>
        </w:rPr>
        <w:t>2</w:t>
      </w:r>
      <w:r>
        <w:rPr>
          <w:rFonts w:hint="eastAsia"/>
          <w:color w:val="000000"/>
          <w:sz w:val="24"/>
        </w:rPr>
        <w:t>、估价对象作为工业土地使用权及其地上建、构筑物整体项目，在设定使用年限内得到有效利用为假设前提。</w:t>
      </w:r>
    </w:p>
    <w:p>
      <w:pPr>
        <w:spacing w:line="500" w:lineRule="exact"/>
        <w:ind w:firstLine="450"/>
        <w:rPr>
          <w:color w:val="000000"/>
          <w:sz w:val="24"/>
        </w:rPr>
      </w:pPr>
      <w:r>
        <w:rPr>
          <w:color w:val="000000"/>
          <w:sz w:val="24"/>
        </w:rPr>
        <w:t>3</w:t>
      </w:r>
      <w:r>
        <w:rPr>
          <w:rFonts w:hint="eastAsia"/>
          <w:color w:val="000000"/>
          <w:sz w:val="24"/>
        </w:rPr>
        <w:t>、各估价对象与其它生产经营要素相结合，能满足设定使用年限内生产经营利用的正常进行。</w:t>
      </w:r>
    </w:p>
    <w:p>
      <w:pPr>
        <w:spacing w:line="500" w:lineRule="exact"/>
        <w:ind w:firstLine="450"/>
        <w:rPr>
          <w:bCs/>
          <w:color w:val="000000"/>
          <w:sz w:val="24"/>
        </w:rPr>
      </w:pPr>
      <w:r>
        <w:rPr>
          <w:color w:val="000000"/>
          <w:sz w:val="24"/>
        </w:rPr>
        <w:t>4</w:t>
      </w:r>
      <w:r>
        <w:rPr>
          <w:rFonts w:hint="eastAsia"/>
          <w:color w:val="000000"/>
          <w:sz w:val="24"/>
        </w:rPr>
        <w:t>、</w:t>
      </w:r>
      <w:r>
        <w:rPr>
          <w:rFonts w:hint="eastAsia"/>
          <w:bCs/>
          <w:color w:val="000000"/>
          <w:sz w:val="24"/>
        </w:rPr>
        <w:t>本次估价设定的房地产市场为稳定、正常、公开的市场。</w:t>
      </w:r>
    </w:p>
    <w:p>
      <w:pPr>
        <w:spacing w:line="500" w:lineRule="exact"/>
        <w:ind w:firstLine="480" w:firstLineChars="200"/>
        <w:rPr>
          <w:color w:val="000000"/>
          <w:sz w:val="24"/>
        </w:rPr>
      </w:pPr>
      <w:r>
        <w:rPr>
          <w:color w:val="000000"/>
          <w:sz w:val="24"/>
        </w:rPr>
        <w:t>5</w:t>
      </w:r>
      <w:r>
        <w:rPr>
          <w:rFonts w:hint="eastAsia"/>
          <w:color w:val="000000"/>
          <w:sz w:val="24"/>
        </w:rPr>
        <w:t>、估价人员对估价对象进行了实地查勘，仅限于估价对象的外观和使用状况。由于我们未得到授权，也没有专业上的能力，估价人员未对估价对象建筑结构质量、木质工程、房地产被遮盖、未暴露以及难以接触的部分水、电、电梯或者其他设施设备等进行测试。但我们对估价对象的实地查勘仅限于其外观和使用状况，对被遮盖、未暴露及难以接触到的部分，依据估价委托人提供的资料进行估价。我们不承担对估价对象建筑结构质量进行调查核实的责任。若估价对象存在上述需进行专业检测的内部缺陷，在估价委托人提供相关资料验证后重新进行估价。本次估价以估价对象无建筑物基础、结构等建筑质量方面的重大问题为假设前提。</w:t>
      </w:r>
    </w:p>
    <w:p>
      <w:pPr>
        <w:spacing w:line="500" w:lineRule="exact"/>
        <w:ind w:firstLine="480" w:firstLineChars="200"/>
        <w:rPr>
          <w:snapToGrid w:val="0"/>
          <w:color w:val="000000"/>
          <w:spacing w:val="-2"/>
          <w:kern w:val="0"/>
          <w:sz w:val="24"/>
        </w:rPr>
      </w:pPr>
      <w:r>
        <w:rPr>
          <w:color w:val="000000"/>
          <w:sz w:val="24"/>
        </w:rPr>
        <w:t>6</w:t>
      </w:r>
      <w:r>
        <w:rPr>
          <w:rFonts w:hint="eastAsia"/>
          <w:color w:val="000000"/>
          <w:sz w:val="24"/>
        </w:rPr>
        <w:t>、</w:t>
      </w:r>
      <w:r>
        <w:rPr>
          <w:rFonts w:hint="eastAsia" w:hAnsi="宋体"/>
          <w:color w:val="000000"/>
          <w:sz w:val="24"/>
        </w:rPr>
        <w:t>本次估价对象的土地使用权面积、用途、权利类型及房屋面积、用途、结构等信息以权利人成都中汇制药有限公司提供并经估价委托人认可采纳的蓉房权证成监字第</w:t>
      </w:r>
      <w:r>
        <w:rPr>
          <w:rFonts w:hAnsi="宋体"/>
          <w:color w:val="000000"/>
          <w:sz w:val="24"/>
        </w:rPr>
        <w:t>0998455</w:t>
      </w:r>
      <w:r>
        <w:rPr>
          <w:rFonts w:hint="eastAsia" w:hAnsi="宋体"/>
          <w:color w:val="000000"/>
          <w:sz w:val="24"/>
        </w:rPr>
        <w:t>号、成房权证监证字第</w:t>
      </w:r>
      <w:r>
        <w:rPr>
          <w:rFonts w:hAnsi="宋体"/>
          <w:color w:val="000000"/>
          <w:sz w:val="24"/>
        </w:rPr>
        <w:t>2069860</w:t>
      </w:r>
      <w:r>
        <w:rPr>
          <w:rFonts w:hint="eastAsia" w:hAnsi="宋体"/>
          <w:color w:val="000000"/>
          <w:sz w:val="24"/>
        </w:rPr>
        <w:t>、</w:t>
      </w:r>
      <w:r>
        <w:rPr>
          <w:rFonts w:hAnsi="宋体"/>
          <w:color w:val="000000"/>
          <w:sz w:val="24"/>
        </w:rPr>
        <w:t>2069857</w:t>
      </w:r>
      <w:r>
        <w:rPr>
          <w:rFonts w:hint="eastAsia" w:hAnsi="宋体"/>
          <w:color w:val="000000"/>
          <w:sz w:val="24"/>
        </w:rPr>
        <w:t>、</w:t>
      </w:r>
      <w:r>
        <w:rPr>
          <w:rFonts w:hAnsi="宋体"/>
          <w:color w:val="000000"/>
          <w:sz w:val="24"/>
        </w:rPr>
        <w:t>2069856</w:t>
      </w:r>
      <w:r>
        <w:rPr>
          <w:rFonts w:hint="eastAsia" w:hAnsi="宋体"/>
          <w:color w:val="000000"/>
          <w:sz w:val="24"/>
        </w:rPr>
        <w:t>号《房屋所有权证》、成国用（</w:t>
      </w:r>
      <w:r>
        <w:rPr>
          <w:rFonts w:hAnsi="宋体"/>
          <w:color w:val="000000"/>
          <w:sz w:val="24"/>
        </w:rPr>
        <w:t>2005</w:t>
      </w:r>
      <w:r>
        <w:rPr>
          <w:rFonts w:hint="eastAsia" w:hAnsi="宋体"/>
          <w:color w:val="000000"/>
          <w:sz w:val="24"/>
        </w:rPr>
        <w:t>）第</w:t>
      </w:r>
      <w:r>
        <w:rPr>
          <w:rFonts w:hAnsi="宋体"/>
          <w:color w:val="000000"/>
          <w:sz w:val="24"/>
        </w:rPr>
        <w:t>866</w:t>
      </w:r>
      <w:r>
        <w:rPr>
          <w:rFonts w:hint="eastAsia" w:hAnsi="宋体"/>
          <w:color w:val="000000"/>
          <w:sz w:val="24"/>
        </w:rPr>
        <w:t>号《国有土地使用证》记载内容为依据；地上无证建筑物的面积、结构、建成时间等数据及其他相关资料以权利人介绍及《房屋建筑面积测绘成果</w:t>
      </w:r>
      <w:r>
        <w:rPr>
          <w:rFonts w:hint="eastAsia"/>
          <w:snapToGrid w:val="0"/>
          <w:color w:val="000000"/>
          <w:spacing w:val="-2"/>
          <w:kern w:val="0"/>
          <w:sz w:val="24"/>
        </w:rPr>
        <w:t>报告（建筑面积实测）》记载内容为依据（仅用于本次评估测算，不作为最终确权依据）。</w:t>
      </w:r>
    </w:p>
    <w:p>
      <w:pPr>
        <w:spacing w:line="500" w:lineRule="exact"/>
        <w:ind w:firstLine="472" w:firstLineChars="200"/>
        <w:rPr>
          <w:snapToGrid w:val="0"/>
          <w:color w:val="000000"/>
          <w:spacing w:val="-2"/>
          <w:kern w:val="0"/>
          <w:sz w:val="24"/>
        </w:rPr>
      </w:pPr>
      <w:r>
        <w:rPr>
          <w:snapToGrid w:val="0"/>
          <w:color w:val="000000"/>
          <w:spacing w:val="-2"/>
          <w:kern w:val="0"/>
          <w:sz w:val="24"/>
        </w:rPr>
        <w:t>7</w:t>
      </w:r>
      <w:r>
        <w:rPr>
          <w:rFonts w:hint="eastAsia"/>
          <w:snapToGrid w:val="0"/>
          <w:color w:val="000000"/>
          <w:spacing w:val="-2"/>
          <w:kern w:val="0"/>
          <w:sz w:val="24"/>
        </w:rPr>
        <w:t>、估价对象所在项目取得《国有土地使用证》，用途为工业用地，使用权终止日期为</w:t>
      </w:r>
      <w:r>
        <w:rPr>
          <w:snapToGrid w:val="0"/>
          <w:color w:val="000000"/>
          <w:spacing w:val="-2"/>
          <w:kern w:val="0"/>
          <w:sz w:val="24"/>
        </w:rPr>
        <w:t>2049</w:t>
      </w:r>
      <w:r>
        <w:rPr>
          <w:rFonts w:hint="eastAsia"/>
          <w:snapToGrid w:val="0"/>
          <w:color w:val="000000"/>
          <w:spacing w:val="-2"/>
          <w:kern w:val="0"/>
          <w:sz w:val="24"/>
        </w:rPr>
        <w:t>年</w:t>
      </w:r>
      <w:r>
        <w:rPr>
          <w:snapToGrid w:val="0"/>
          <w:color w:val="000000"/>
          <w:spacing w:val="-2"/>
          <w:kern w:val="0"/>
          <w:sz w:val="24"/>
        </w:rPr>
        <w:t>5</w:t>
      </w:r>
      <w:r>
        <w:rPr>
          <w:rFonts w:hint="eastAsia"/>
          <w:snapToGrid w:val="0"/>
          <w:color w:val="000000"/>
          <w:spacing w:val="-2"/>
          <w:kern w:val="0"/>
          <w:sz w:val="24"/>
        </w:rPr>
        <w:t>月</w:t>
      </w:r>
      <w:r>
        <w:rPr>
          <w:snapToGrid w:val="0"/>
          <w:color w:val="000000"/>
          <w:spacing w:val="-2"/>
          <w:kern w:val="0"/>
          <w:sz w:val="24"/>
        </w:rPr>
        <w:t>30</w:t>
      </w:r>
      <w:r>
        <w:rPr>
          <w:rFonts w:hint="eastAsia"/>
          <w:snapToGrid w:val="0"/>
          <w:color w:val="000000"/>
          <w:spacing w:val="-2"/>
          <w:kern w:val="0"/>
          <w:sz w:val="24"/>
        </w:rPr>
        <w:t>日，至价值时点</w:t>
      </w:r>
      <w:r>
        <w:rPr>
          <w:snapToGrid w:val="0"/>
          <w:color w:val="000000"/>
          <w:spacing w:val="-2"/>
          <w:kern w:val="0"/>
          <w:sz w:val="24"/>
        </w:rPr>
        <w:t>2022</w:t>
      </w:r>
      <w:r>
        <w:rPr>
          <w:rFonts w:hint="eastAsia"/>
          <w:snapToGrid w:val="0"/>
          <w:color w:val="000000"/>
          <w:spacing w:val="-2"/>
          <w:kern w:val="0"/>
          <w:sz w:val="24"/>
        </w:rPr>
        <w:t>年</w:t>
      </w:r>
      <w:r>
        <w:rPr>
          <w:snapToGrid w:val="0"/>
          <w:color w:val="000000"/>
          <w:spacing w:val="-2"/>
          <w:kern w:val="0"/>
          <w:sz w:val="24"/>
        </w:rPr>
        <w:t>04</w:t>
      </w:r>
      <w:r>
        <w:rPr>
          <w:rFonts w:hint="eastAsia"/>
          <w:snapToGrid w:val="0"/>
          <w:color w:val="000000"/>
          <w:spacing w:val="-2"/>
          <w:kern w:val="0"/>
          <w:sz w:val="24"/>
        </w:rPr>
        <w:t>月</w:t>
      </w:r>
      <w:r>
        <w:rPr>
          <w:snapToGrid w:val="0"/>
          <w:color w:val="000000"/>
          <w:spacing w:val="-2"/>
          <w:kern w:val="0"/>
          <w:sz w:val="24"/>
        </w:rPr>
        <w:t>02</w:t>
      </w:r>
      <w:r>
        <w:rPr>
          <w:rFonts w:hint="eastAsia"/>
          <w:snapToGrid w:val="0"/>
          <w:color w:val="000000"/>
          <w:spacing w:val="-2"/>
          <w:kern w:val="0"/>
          <w:sz w:val="24"/>
        </w:rPr>
        <w:t>日剩余年限约</w:t>
      </w:r>
      <w:r>
        <w:rPr>
          <w:snapToGrid w:val="0"/>
          <w:color w:val="000000"/>
          <w:spacing w:val="-2"/>
          <w:kern w:val="0"/>
          <w:sz w:val="24"/>
        </w:rPr>
        <w:t>27.16</w:t>
      </w:r>
      <w:r>
        <w:rPr>
          <w:rFonts w:hint="eastAsia"/>
          <w:snapToGrid w:val="0"/>
          <w:color w:val="000000"/>
          <w:spacing w:val="-2"/>
          <w:kern w:val="0"/>
          <w:sz w:val="24"/>
        </w:rPr>
        <w:t>年。土地开发程度宗地外六通（通上下水、通电、通路、通讯、通气）、宗地内六通一平（通上下水、通电、通路、通讯、通气，场地平整）。</w:t>
      </w:r>
    </w:p>
    <w:p>
      <w:pPr>
        <w:spacing w:line="500" w:lineRule="exact"/>
        <w:ind w:firstLine="472" w:firstLineChars="200"/>
        <w:rPr>
          <w:color w:val="000000"/>
          <w:sz w:val="24"/>
        </w:rPr>
      </w:pPr>
      <w:r>
        <w:rPr>
          <w:snapToGrid w:val="0"/>
          <w:color w:val="000000"/>
          <w:spacing w:val="-2"/>
          <w:kern w:val="0"/>
          <w:sz w:val="24"/>
        </w:rPr>
        <w:t>8</w:t>
      </w:r>
      <w:r>
        <w:rPr>
          <w:rFonts w:hint="eastAsia"/>
          <w:snapToGrid w:val="0"/>
          <w:color w:val="000000"/>
          <w:spacing w:val="-2"/>
          <w:kern w:val="0"/>
          <w:sz w:val="24"/>
        </w:rPr>
        <w:t>、本次估价以权利人对估价对象享有占有、使用的用益物权，能够满足生产及经</w:t>
      </w:r>
      <w:r>
        <w:rPr>
          <w:rFonts w:hint="eastAsia"/>
          <w:color w:val="000000"/>
          <w:sz w:val="24"/>
        </w:rPr>
        <w:t>营的需要为假设前提。</w:t>
      </w:r>
    </w:p>
    <w:p>
      <w:pPr>
        <w:spacing w:line="500" w:lineRule="exact"/>
        <w:ind w:firstLine="472" w:firstLineChars="200"/>
        <w:rPr>
          <w:snapToGrid w:val="0"/>
          <w:color w:val="000000"/>
          <w:spacing w:val="-2"/>
          <w:kern w:val="0"/>
          <w:sz w:val="24"/>
        </w:rPr>
      </w:pPr>
      <w:r>
        <w:rPr>
          <w:snapToGrid w:val="0"/>
          <w:color w:val="000000"/>
          <w:spacing w:val="-2"/>
          <w:kern w:val="0"/>
          <w:sz w:val="24"/>
        </w:rPr>
        <w:t>9</w:t>
      </w:r>
      <w:r>
        <w:rPr>
          <w:rFonts w:hint="eastAsia"/>
          <w:snapToGrid w:val="0"/>
          <w:color w:val="000000"/>
          <w:spacing w:val="-2"/>
          <w:kern w:val="0"/>
          <w:sz w:val="24"/>
        </w:rPr>
        <w:t>、整个园区实际占地约</w:t>
      </w:r>
      <w:r>
        <w:rPr>
          <w:snapToGrid w:val="0"/>
          <w:color w:val="000000"/>
          <w:spacing w:val="-2"/>
          <w:kern w:val="0"/>
          <w:sz w:val="24"/>
        </w:rPr>
        <w:t>84</w:t>
      </w:r>
      <w:r>
        <w:rPr>
          <w:rFonts w:hint="eastAsia"/>
          <w:snapToGrid w:val="0"/>
          <w:color w:val="000000"/>
          <w:spacing w:val="-2"/>
          <w:kern w:val="0"/>
          <w:sz w:val="24"/>
        </w:rPr>
        <w:t>亩。按估价委托人要求，本次仅对南侧</w:t>
      </w:r>
      <w:r>
        <w:rPr>
          <w:snapToGrid w:val="0"/>
          <w:color w:val="000000"/>
          <w:spacing w:val="-2"/>
          <w:kern w:val="0"/>
          <w:sz w:val="24"/>
        </w:rPr>
        <w:t>32</w:t>
      </w:r>
      <w:r>
        <w:rPr>
          <w:rFonts w:hint="eastAsia"/>
          <w:snapToGrid w:val="0"/>
          <w:color w:val="000000"/>
          <w:spacing w:val="-2"/>
          <w:kern w:val="0"/>
          <w:sz w:val="24"/>
        </w:rPr>
        <w:t>亩宗地及地上建筑物进行市场价值评估。未考虑两宗地毗邻所带来的增值或减值效应。</w:t>
      </w:r>
    </w:p>
    <w:p>
      <w:pPr>
        <w:spacing w:line="500" w:lineRule="exact"/>
        <w:ind w:firstLine="472" w:firstLineChars="200"/>
        <w:rPr>
          <w:snapToGrid w:val="0"/>
          <w:color w:val="000000"/>
          <w:spacing w:val="-2"/>
          <w:kern w:val="0"/>
          <w:sz w:val="24"/>
        </w:rPr>
      </w:pPr>
      <w:r>
        <w:rPr>
          <w:snapToGrid w:val="0"/>
          <w:color w:val="000000"/>
          <w:spacing w:val="-2"/>
          <w:kern w:val="0"/>
          <w:sz w:val="24"/>
        </w:rPr>
        <w:t>10</w:t>
      </w:r>
      <w:r>
        <w:rPr>
          <w:rFonts w:hint="eastAsia"/>
          <w:snapToGrid w:val="0"/>
          <w:color w:val="000000"/>
          <w:spacing w:val="-2"/>
          <w:kern w:val="0"/>
          <w:sz w:val="24"/>
        </w:rPr>
        <w:t>、权利人介绍和估价人员实地查勘，估价对象由权利人出租使用，估价委托人未提供租赁合同，经与承办法官沟通本次不考虑实际租赁对市场价值的影响。故本次设定权利人未与任何一方签署针对于估价对象的无限期或影响估价价值的租赁协议，未拖欠水电费。</w:t>
      </w:r>
    </w:p>
    <w:p>
      <w:pPr>
        <w:pStyle w:val="22"/>
        <w:snapToGrid w:val="0"/>
        <w:spacing w:after="0" w:line="520" w:lineRule="exact"/>
        <w:ind w:left="0" w:firstLine="525" w:firstLineChars="218"/>
        <w:rPr>
          <w:b/>
          <w:color w:val="000000"/>
          <w:sz w:val="24"/>
        </w:rPr>
      </w:pPr>
      <w:r>
        <w:rPr>
          <w:rFonts w:hint="eastAsia"/>
          <w:b/>
          <w:color w:val="000000"/>
          <w:sz w:val="24"/>
        </w:rPr>
        <w:t>（二）未定事项假设</w:t>
      </w:r>
    </w:p>
    <w:p>
      <w:pPr>
        <w:spacing w:line="500" w:lineRule="exact"/>
        <w:ind w:firstLine="480" w:firstLineChars="200"/>
        <w:rPr>
          <w:color w:val="000000"/>
          <w:sz w:val="24"/>
        </w:rPr>
      </w:pPr>
      <w:r>
        <w:rPr>
          <w:rFonts w:hint="eastAsia"/>
          <w:color w:val="000000"/>
          <w:sz w:val="24"/>
        </w:rPr>
        <w:t>无未定事项假设</w:t>
      </w:r>
    </w:p>
    <w:p>
      <w:pPr>
        <w:spacing w:line="500" w:lineRule="exact"/>
        <w:ind w:firstLine="472" w:firstLineChars="196"/>
        <w:outlineLvl w:val="0"/>
        <w:rPr>
          <w:b/>
          <w:color w:val="000000"/>
          <w:sz w:val="24"/>
        </w:rPr>
      </w:pPr>
      <w:r>
        <w:rPr>
          <w:rFonts w:hint="eastAsia"/>
          <w:b/>
          <w:color w:val="000000"/>
          <w:sz w:val="24"/>
        </w:rPr>
        <w:t>（三）背离事实假设</w:t>
      </w:r>
    </w:p>
    <w:p>
      <w:pPr>
        <w:spacing w:line="520" w:lineRule="exact"/>
        <w:ind w:firstLine="480" w:firstLineChars="200"/>
        <w:rPr>
          <w:color w:val="000000"/>
          <w:sz w:val="24"/>
        </w:rPr>
      </w:pPr>
      <w:r>
        <w:rPr>
          <w:rFonts w:hint="eastAsia"/>
          <w:color w:val="000000"/>
          <w:sz w:val="24"/>
        </w:rPr>
        <w:t>估价委托人提供的资料未记载抵押及查封等信息，根据本次估价目的，设定估价委托人对估价对象拥有处置权，以不考虑抵押权、查封登记等权利限制及优先受偿款等因素影响为假设前提。</w:t>
      </w:r>
    </w:p>
    <w:p>
      <w:pPr>
        <w:spacing w:line="500" w:lineRule="exact"/>
        <w:ind w:firstLine="472" w:firstLineChars="196"/>
        <w:outlineLvl w:val="0"/>
        <w:rPr>
          <w:b/>
          <w:color w:val="000000"/>
          <w:sz w:val="24"/>
        </w:rPr>
      </w:pPr>
      <w:r>
        <w:rPr>
          <w:rFonts w:hint="eastAsia"/>
          <w:b/>
          <w:color w:val="000000"/>
          <w:sz w:val="24"/>
        </w:rPr>
        <w:t>（四）不相一致假设</w:t>
      </w:r>
    </w:p>
    <w:p>
      <w:pPr>
        <w:spacing w:line="520" w:lineRule="exact"/>
        <w:ind w:firstLine="480" w:firstLineChars="200"/>
        <w:rPr>
          <w:color w:val="000000"/>
          <w:sz w:val="24"/>
        </w:rPr>
      </w:pPr>
      <w:r>
        <w:rPr>
          <w:rFonts w:hint="eastAsia"/>
          <w:color w:val="000000"/>
          <w:sz w:val="24"/>
        </w:rPr>
        <w:t>我公司估价师与申请人代理律师、辅拍公司工作人员以及被执行人工作人员共同对上述委托评估的房地产进行了实地查勘。对照被执行人提供、且由估价委托人承办法官确认可采信的估价对象权属规划资料，委托书上记载的估价对象与同属于成都中汇制药有限公司所有的北侧另一宗地直接南北相邻，两宗地无明显分隔界线，现为“广和都市工业总部”和“广和汽车孵化园”，南侧临蜀西路的街道门牌号为“蜀西路</w:t>
      </w:r>
      <w:r>
        <w:rPr>
          <w:color w:val="000000"/>
          <w:sz w:val="24"/>
        </w:rPr>
        <w:t>30</w:t>
      </w:r>
      <w:r>
        <w:rPr>
          <w:rFonts w:hint="eastAsia"/>
          <w:color w:val="000000"/>
          <w:sz w:val="24"/>
        </w:rPr>
        <w:t>号”，北侧临兴盛东路的街道门牌号为“兴盛东路</w:t>
      </w:r>
      <w:r>
        <w:rPr>
          <w:color w:val="000000"/>
          <w:sz w:val="24"/>
        </w:rPr>
        <w:t>111</w:t>
      </w:r>
      <w:r>
        <w:rPr>
          <w:rFonts w:hint="eastAsia"/>
          <w:color w:val="000000"/>
          <w:sz w:val="24"/>
        </w:rPr>
        <w:t>号”；两宗地均取得了国有土地使用证，土地上均建成有建构筑物（部分建筑物已取得权证）。被执行人的工作人员现场进行了指界，与《房屋建筑面积测绘成果报告》所附平面图符合。</w:t>
      </w:r>
    </w:p>
    <w:p>
      <w:pPr>
        <w:spacing w:line="520" w:lineRule="exact"/>
        <w:ind w:firstLine="480" w:firstLineChars="200"/>
        <w:rPr>
          <w:color w:val="000000"/>
          <w:sz w:val="24"/>
        </w:rPr>
      </w:pPr>
      <w:r>
        <w:rPr>
          <w:rFonts w:hint="eastAsia"/>
          <w:color w:val="000000"/>
          <w:sz w:val="24"/>
        </w:rPr>
        <w:t>本次估价范围内估价对象实体状况及具体位置由申请人代理人及权利人代表现场共同指认确定，承诺无遗漏偏差，法院委托的辅拍公司工作人员进行了见证。故本次设定以实地查勘估价对象位置与权属证明资料记载的一致为假设前提，且具有唯一性。</w:t>
      </w:r>
    </w:p>
    <w:p>
      <w:pPr>
        <w:spacing w:line="500" w:lineRule="exact"/>
        <w:ind w:firstLine="482" w:firstLineChars="200"/>
        <w:rPr>
          <w:b/>
          <w:color w:val="000000"/>
          <w:sz w:val="24"/>
        </w:rPr>
      </w:pPr>
      <w:r>
        <w:rPr>
          <w:rFonts w:hint="eastAsia"/>
          <w:b/>
          <w:color w:val="000000"/>
          <w:sz w:val="24"/>
        </w:rPr>
        <w:t>（五）依据不足假设</w:t>
      </w:r>
    </w:p>
    <w:p>
      <w:pPr>
        <w:spacing w:line="480" w:lineRule="exact"/>
        <w:ind w:firstLine="480" w:firstLineChars="200"/>
        <w:rPr>
          <w:color w:val="000000"/>
          <w:sz w:val="24"/>
        </w:rPr>
      </w:pPr>
      <w:r>
        <w:rPr>
          <w:color w:val="000000"/>
          <w:sz w:val="24"/>
        </w:rPr>
        <w:t>1</w:t>
      </w:r>
      <w:r>
        <w:rPr>
          <w:rFonts w:hint="eastAsia"/>
          <w:color w:val="000000"/>
          <w:sz w:val="24"/>
        </w:rPr>
        <w:t>、根据估价委托人提供的有关资料，及估价师所能了解和知悉的范围内，估价对象房屋所有权及土地使用权不存在典权等他项权利及其他法定优先受偿款。本次估价以估价对象不存在典当等他项权利及其他法定优先受偿款为假设前提。</w:t>
      </w:r>
    </w:p>
    <w:p>
      <w:pPr>
        <w:spacing w:line="500" w:lineRule="exact"/>
        <w:ind w:firstLine="480" w:firstLineChars="200"/>
        <w:rPr>
          <w:color w:val="000000"/>
          <w:sz w:val="24"/>
        </w:rPr>
      </w:pPr>
      <w:r>
        <w:rPr>
          <w:color w:val="000000"/>
          <w:sz w:val="24"/>
        </w:rPr>
        <w:t>2</w:t>
      </w:r>
      <w:r>
        <w:rPr>
          <w:rFonts w:hint="eastAsia"/>
          <w:color w:val="000000"/>
          <w:sz w:val="24"/>
        </w:rPr>
        <w:t>、估价对象有证建筑的建成年代</w:t>
      </w:r>
      <w:r>
        <w:rPr>
          <w:color w:val="000000"/>
          <w:sz w:val="24"/>
        </w:rPr>
        <w:t>1998</w:t>
      </w:r>
      <w:r>
        <w:rPr>
          <w:rFonts w:hint="eastAsia"/>
          <w:color w:val="000000"/>
          <w:sz w:val="24"/>
        </w:rPr>
        <w:t>年是据被执行人介绍</w:t>
      </w:r>
      <w:r>
        <w:rPr>
          <w:rFonts w:hint="eastAsia" w:hAnsi="宋体"/>
          <w:color w:val="000000"/>
          <w:sz w:val="24"/>
        </w:rPr>
        <w:t>和提供的资料显示</w:t>
      </w:r>
      <w:r>
        <w:rPr>
          <w:rFonts w:hint="eastAsia"/>
          <w:color w:val="000000"/>
          <w:sz w:val="24"/>
        </w:rPr>
        <w:t>为依据，由于估价人员的专业能力，无法确定其建成年代的准确性，对于估价对象准确的建成年代应以查对房产主管部门的档案资料记载为准。本次以房产主管部门的档案资料记载一致为假设前提。</w:t>
      </w:r>
    </w:p>
    <w:p>
      <w:pPr>
        <w:spacing w:line="500" w:lineRule="exact"/>
        <w:ind w:firstLine="482" w:firstLineChars="200"/>
        <w:rPr>
          <w:rFonts w:ascii="宋体"/>
          <w:b/>
          <w:color w:val="000000"/>
          <w:sz w:val="24"/>
        </w:rPr>
      </w:pPr>
      <w:r>
        <w:rPr>
          <w:rFonts w:hint="eastAsia" w:ascii="宋体"/>
          <w:b/>
          <w:color w:val="000000"/>
          <w:sz w:val="24"/>
        </w:rPr>
        <w:t>二、估价报告使用限制</w:t>
      </w:r>
    </w:p>
    <w:p>
      <w:pPr>
        <w:pStyle w:val="5"/>
        <w:spacing w:line="500" w:lineRule="exact"/>
        <w:ind w:left="0" w:firstLine="241" w:firstLineChars="100"/>
        <w:rPr>
          <w:rFonts w:ascii="宋体"/>
          <w:b/>
          <w:color w:val="000000"/>
          <w:sz w:val="24"/>
        </w:rPr>
      </w:pPr>
      <w:r>
        <w:rPr>
          <w:rFonts w:hint="eastAsia" w:ascii="宋体"/>
          <w:b/>
          <w:color w:val="000000"/>
          <w:sz w:val="24"/>
        </w:rPr>
        <w:t>（一）估价结果的使用说明</w:t>
      </w:r>
    </w:p>
    <w:p>
      <w:pPr>
        <w:spacing w:line="500" w:lineRule="exact"/>
        <w:rPr>
          <w:color w:val="000000"/>
          <w:sz w:val="24"/>
        </w:rPr>
      </w:pPr>
      <w:r>
        <w:rPr>
          <w:color w:val="000000"/>
          <w:sz w:val="24"/>
        </w:rPr>
        <w:t xml:space="preserve">    1</w:t>
      </w:r>
      <w:r>
        <w:rPr>
          <w:rFonts w:hint="eastAsia"/>
          <w:color w:val="000000"/>
          <w:sz w:val="24"/>
        </w:rPr>
        <w:t>、本报告是反映估价对象在本次估价目的下，根据公开市场原则确定的价值时点房地产市场价值，市场价值是估价对象经适当营销后，由熟悉情况、谨慎行事且不受强迫的交易双方，以公平交易方式在价值时点自愿进行交易的金额。</w:t>
      </w:r>
      <w:r>
        <w:rPr>
          <w:rFonts w:hint="eastAsia" w:ascii="宋体"/>
          <w:color w:val="000000"/>
          <w:sz w:val="24"/>
        </w:rPr>
        <w:t>仅作为估价委托人</w:t>
      </w:r>
      <w:r>
        <w:rPr>
          <w:rFonts w:hint="eastAsia"/>
          <w:snapToGrid w:val="0"/>
          <w:color w:val="000000"/>
          <w:kern w:val="0"/>
          <w:sz w:val="24"/>
        </w:rPr>
        <w:t>确定财产处置参考价提供市场价值参考依据</w:t>
      </w:r>
      <w:r>
        <w:rPr>
          <w:rFonts w:hint="eastAsia"/>
          <w:color w:val="000000"/>
          <w:sz w:val="24"/>
        </w:rPr>
        <w:t>，不得当然作为市场的成交价格，不得用于其它目的和用途。</w:t>
      </w:r>
    </w:p>
    <w:p>
      <w:pPr>
        <w:spacing w:line="500" w:lineRule="exact"/>
        <w:ind w:firstLine="480"/>
        <w:rPr>
          <w:color w:val="000000"/>
          <w:sz w:val="24"/>
        </w:rPr>
      </w:pPr>
      <w:r>
        <w:rPr>
          <w:color w:val="000000"/>
          <w:sz w:val="24"/>
        </w:rPr>
        <w:t>2</w:t>
      </w:r>
      <w:r>
        <w:rPr>
          <w:rFonts w:hint="eastAsia"/>
          <w:color w:val="000000"/>
          <w:sz w:val="24"/>
        </w:rPr>
        <w:t>、</w:t>
      </w:r>
      <w:r>
        <w:rPr>
          <w:rFonts w:hint="eastAsia" w:hAnsi="宋体"/>
          <w:color w:val="000000"/>
          <w:sz w:val="24"/>
        </w:rPr>
        <w:t>本报告有效使用期自估价报告出具之日即</w:t>
      </w:r>
      <w:r>
        <w:rPr>
          <w:color w:val="000000"/>
          <w:sz w:val="24"/>
        </w:rPr>
        <w:t>2022</w:t>
      </w:r>
      <w:r>
        <w:rPr>
          <w:rFonts w:hint="eastAsia" w:hAnsi="宋体"/>
          <w:color w:val="000000"/>
          <w:sz w:val="24"/>
        </w:rPr>
        <w:t>年</w:t>
      </w:r>
      <w:r>
        <w:rPr>
          <w:color w:val="000000"/>
          <w:sz w:val="24"/>
        </w:rPr>
        <w:t>04</w:t>
      </w:r>
      <w:r>
        <w:rPr>
          <w:rFonts w:hint="eastAsia" w:hAnsi="宋体"/>
          <w:color w:val="000000"/>
          <w:sz w:val="24"/>
        </w:rPr>
        <w:t>月</w:t>
      </w:r>
      <w:r>
        <w:rPr>
          <w:color w:val="000000"/>
          <w:sz w:val="24"/>
        </w:rPr>
        <w:t>18</w:t>
      </w:r>
      <w:r>
        <w:rPr>
          <w:rFonts w:hint="eastAsia" w:hAnsi="宋体"/>
          <w:color w:val="000000"/>
          <w:sz w:val="24"/>
        </w:rPr>
        <w:t>日起为</w:t>
      </w:r>
      <w:r>
        <w:rPr>
          <w:rFonts w:hint="eastAsia" w:hAnsi="宋体"/>
          <w:b/>
          <w:color w:val="000000"/>
          <w:sz w:val="24"/>
        </w:rPr>
        <w:t>壹年</w:t>
      </w:r>
      <w:r>
        <w:rPr>
          <w:rFonts w:hint="eastAsia" w:hAnsi="宋体"/>
          <w:color w:val="000000"/>
          <w:sz w:val="24"/>
        </w:rPr>
        <w:t>（即有效期至</w:t>
      </w:r>
      <w:r>
        <w:rPr>
          <w:color w:val="000000"/>
          <w:sz w:val="24"/>
        </w:rPr>
        <w:t>2023</w:t>
      </w:r>
      <w:r>
        <w:rPr>
          <w:rFonts w:hint="eastAsia" w:hAnsi="宋体"/>
          <w:color w:val="000000"/>
          <w:sz w:val="24"/>
        </w:rPr>
        <w:t>年</w:t>
      </w:r>
      <w:r>
        <w:rPr>
          <w:color w:val="000000"/>
          <w:sz w:val="24"/>
        </w:rPr>
        <w:t>04</w:t>
      </w:r>
      <w:r>
        <w:rPr>
          <w:rFonts w:hint="eastAsia" w:hAnsi="宋体"/>
          <w:color w:val="000000"/>
          <w:sz w:val="24"/>
        </w:rPr>
        <w:t>月</w:t>
      </w:r>
      <w:r>
        <w:rPr>
          <w:color w:val="000000"/>
          <w:sz w:val="24"/>
        </w:rPr>
        <w:t>17</w:t>
      </w:r>
      <w:r>
        <w:rPr>
          <w:rFonts w:hint="eastAsia" w:hAnsi="宋体"/>
          <w:color w:val="000000"/>
          <w:sz w:val="24"/>
        </w:rPr>
        <w:t>日止）</w:t>
      </w:r>
      <w:r>
        <w:rPr>
          <w:rFonts w:hint="eastAsia" w:ascii="宋体" w:hAnsi="宋体"/>
          <w:color w:val="000000"/>
          <w:sz w:val="24"/>
        </w:rPr>
        <w:t>，</w:t>
      </w:r>
      <w:r>
        <w:rPr>
          <w:rFonts w:hint="eastAsia"/>
          <w:color w:val="000000"/>
          <w:sz w:val="24"/>
        </w:rPr>
        <w:t>请在有效期内使用，估价结果应与报告同时完整使用；若由于国家政策，经济环境及委估房产的实物状况、权益状况等因素发生重大变化，对估价结果产生严重影响时，应委托估价机构重新估价。</w:t>
      </w:r>
    </w:p>
    <w:p>
      <w:pPr>
        <w:spacing w:line="500" w:lineRule="exact"/>
        <w:ind w:firstLine="480" w:firstLineChars="200"/>
        <w:rPr>
          <w:rFonts w:ascii="宋体"/>
          <w:color w:val="000000"/>
          <w:sz w:val="24"/>
        </w:rPr>
      </w:pPr>
      <w:r>
        <w:rPr>
          <w:rFonts w:hint="eastAsia"/>
          <w:color w:val="000000"/>
          <w:sz w:val="24"/>
        </w:rPr>
        <w:t>备注：</w:t>
      </w:r>
      <w:r>
        <w:rPr>
          <w:rFonts w:hint="eastAsia" w:ascii="宋体" w:hAnsi="宋体"/>
          <w:color w:val="000000"/>
          <w:sz w:val="24"/>
        </w:rPr>
        <w:t>重大变化包含但不限于以下对与估价对象同类型、同用途的房地产价格普遍产生巨大变化的以下因素：</w:t>
      </w:r>
    </w:p>
    <w:p>
      <w:pPr>
        <w:spacing w:line="500" w:lineRule="exact"/>
        <w:ind w:firstLine="360" w:firstLineChars="150"/>
        <w:outlineLvl w:val="0"/>
        <w:rPr>
          <w:rFonts w:ascii="宋体"/>
          <w:color w:val="000000"/>
          <w:sz w:val="24"/>
        </w:rPr>
      </w:pPr>
      <w:r>
        <w:rPr>
          <w:rFonts w:hint="eastAsia" w:ascii="宋体" w:hAnsi="宋体"/>
          <w:color w:val="000000"/>
          <w:sz w:val="24"/>
        </w:rPr>
        <w:t>（</w:t>
      </w:r>
      <w:r>
        <w:rPr>
          <w:rFonts w:ascii="宋体" w:hAnsi="宋体"/>
          <w:color w:val="000000"/>
          <w:sz w:val="24"/>
        </w:rPr>
        <w:t>1</w:t>
      </w:r>
      <w:r>
        <w:rPr>
          <w:rFonts w:hint="eastAsia" w:ascii="宋体" w:hAnsi="宋体"/>
          <w:color w:val="000000"/>
          <w:sz w:val="24"/>
        </w:rPr>
        <w:t>）国家政策</w:t>
      </w:r>
    </w:p>
    <w:p>
      <w:pPr>
        <w:spacing w:line="500" w:lineRule="exact"/>
        <w:ind w:firstLine="480" w:firstLineChars="200"/>
        <w:rPr>
          <w:rFonts w:ascii="宋体"/>
          <w:color w:val="000000"/>
          <w:sz w:val="24"/>
        </w:rPr>
      </w:pPr>
      <w:r>
        <w:rPr>
          <w:rFonts w:hint="eastAsia" w:ascii="宋体" w:hAnsi="宋体"/>
          <w:color w:val="000000"/>
          <w:sz w:val="24"/>
        </w:rPr>
        <w:t>税收政策（如增值税、房产税等与房地产相关的税种的征收条件重大变化）、房地产业政策（如土地出让政策、限购限贷政策、首付比例、不动产登记制度等的重大变化）等以及所在行政区划的大变动而造成的地域性土地市场供地结构、房地产投资环境等的重大变化。</w:t>
      </w:r>
    </w:p>
    <w:p>
      <w:pPr>
        <w:spacing w:line="500" w:lineRule="exact"/>
        <w:ind w:firstLine="360" w:firstLineChars="150"/>
        <w:outlineLvl w:val="0"/>
        <w:rPr>
          <w:rFonts w:ascii="宋体"/>
          <w:color w:val="000000"/>
          <w:sz w:val="24"/>
        </w:rPr>
      </w:pPr>
      <w:r>
        <w:rPr>
          <w:rFonts w:hint="eastAsia" w:ascii="宋体" w:hAnsi="宋体"/>
          <w:color w:val="000000"/>
          <w:sz w:val="24"/>
        </w:rPr>
        <w:t>（</w:t>
      </w:r>
      <w:r>
        <w:rPr>
          <w:rFonts w:ascii="宋体" w:hAnsi="宋体"/>
          <w:color w:val="000000"/>
          <w:sz w:val="24"/>
        </w:rPr>
        <w:t>2</w:t>
      </w:r>
      <w:r>
        <w:rPr>
          <w:rFonts w:hint="eastAsia" w:ascii="宋体" w:hAnsi="宋体"/>
          <w:color w:val="000000"/>
          <w:sz w:val="24"/>
        </w:rPr>
        <w:t>）经济环境</w:t>
      </w:r>
    </w:p>
    <w:p>
      <w:pPr>
        <w:spacing w:line="500" w:lineRule="exact"/>
        <w:ind w:firstLine="435"/>
        <w:rPr>
          <w:rFonts w:ascii="宋体"/>
          <w:color w:val="000000"/>
          <w:sz w:val="24"/>
        </w:rPr>
      </w:pPr>
      <w:r>
        <w:rPr>
          <w:rFonts w:hint="eastAsia" w:ascii="宋体" w:hAnsi="宋体"/>
          <w:color w:val="000000"/>
          <w:sz w:val="24"/>
        </w:rPr>
        <w:t>宏观的国际经济形势、国家的经济环境、金融环境的重大变化（如金融危机、国际经济封锁等的突变）；</w:t>
      </w:r>
    </w:p>
    <w:p>
      <w:pPr>
        <w:spacing w:line="500" w:lineRule="exact"/>
        <w:ind w:firstLine="435"/>
        <w:rPr>
          <w:rFonts w:ascii="宋体"/>
          <w:color w:val="000000"/>
          <w:sz w:val="24"/>
        </w:rPr>
      </w:pPr>
      <w:r>
        <w:rPr>
          <w:rFonts w:hint="eastAsia" w:ascii="宋体" w:hAnsi="宋体"/>
          <w:color w:val="000000"/>
          <w:sz w:val="24"/>
        </w:rPr>
        <w:t>重大灾害类的事件发生对当地经济市场、房地产市场产生巨大影响（如地震、火山爆发、</w:t>
      </w:r>
      <w:r>
        <w:rPr>
          <w:rFonts w:hint="eastAsia"/>
          <w:color w:val="000000"/>
          <w:sz w:val="24"/>
        </w:rPr>
        <w:t>瘟疫、</w:t>
      </w:r>
      <w:r>
        <w:rPr>
          <w:rFonts w:hint="eastAsia" w:ascii="宋体" w:hAnsi="宋体"/>
          <w:color w:val="000000"/>
          <w:sz w:val="24"/>
        </w:rPr>
        <w:t>政局变化、核能、战争（不论宣战与否）、内乱、暴动或其他类似的武装叛乱）。</w:t>
      </w:r>
    </w:p>
    <w:p>
      <w:pPr>
        <w:spacing w:line="500" w:lineRule="exact"/>
        <w:ind w:firstLine="435"/>
        <w:rPr>
          <w:rFonts w:ascii="宋体"/>
          <w:color w:val="000000"/>
          <w:sz w:val="24"/>
        </w:rPr>
      </w:pPr>
      <w:r>
        <w:rPr>
          <w:rFonts w:hint="eastAsia" w:ascii="宋体" w:hAnsi="宋体"/>
          <w:color w:val="000000"/>
          <w:sz w:val="24"/>
        </w:rPr>
        <w:t>征收或者周边对生活、经营产生重大影响的规划改变（如新增知名学校、医院等人文设施或新增厌恶设施）。</w:t>
      </w:r>
    </w:p>
    <w:p>
      <w:pPr>
        <w:spacing w:line="500" w:lineRule="exact"/>
        <w:ind w:firstLine="360" w:firstLineChars="150"/>
        <w:outlineLvl w:val="0"/>
        <w:rPr>
          <w:rFonts w:ascii="宋体"/>
          <w:color w:val="000000"/>
          <w:sz w:val="24"/>
        </w:rPr>
      </w:pPr>
      <w:r>
        <w:rPr>
          <w:rFonts w:hint="eastAsia" w:ascii="宋体" w:hAnsi="宋体"/>
          <w:color w:val="000000"/>
          <w:sz w:val="24"/>
        </w:rPr>
        <w:t>（</w:t>
      </w:r>
      <w:r>
        <w:rPr>
          <w:rFonts w:ascii="宋体" w:hAnsi="宋体"/>
          <w:color w:val="000000"/>
          <w:sz w:val="24"/>
        </w:rPr>
        <w:t>3</w:t>
      </w:r>
      <w:r>
        <w:rPr>
          <w:rFonts w:hint="eastAsia" w:ascii="宋体" w:hAnsi="宋体"/>
          <w:color w:val="000000"/>
          <w:sz w:val="24"/>
        </w:rPr>
        <w:t>）估价对象实物状况</w:t>
      </w:r>
    </w:p>
    <w:p>
      <w:pPr>
        <w:spacing w:line="500" w:lineRule="exact"/>
        <w:ind w:firstLine="435"/>
        <w:rPr>
          <w:rFonts w:ascii="宋体"/>
          <w:color w:val="000000"/>
          <w:sz w:val="24"/>
        </w:rPr>
      </w:pPr>
      <w:r>
        <w:rPr>
          <w:rFonts w:hint="eastAsia" w:ascii="宋体" w:hAnsi="宋体"/>
          <w:color w:val="000000"/>
          <w:sz w:val="24"/>
        </w:rPr>
        <w:t>估价对象实物发生改建、扩建，主体损坏、拆除、灭失、用途改变；</w:t>
      </w:r>
    </w:p>
    <w:p>
      <w:pPr>
        <w:spacing w:line="500" w:lineRule="exact"/>
        <w:ind w:firstLine="360" w:firstLineChars="150"/>
        <w:outlineLvl w:val="0"/>
        <w:rPr>
          <w:rFonts w:ascii="宋体"/>
          <w:color w:val="000000"/>
          <w:sz w:val="24"/>
        </w:rPr>
      </w:pPr>
      <w:r>
        <w:rPr>
          <w:rFonts w:hint="eastAsia" w:ascii="宋体" w:hAnsi="宋体"/>
          <w:color w:val="000000"/>
          <w:sz w:val="24"/>
        </w:rPr>
        <w:t>（</w:t>
      </w:r>
      <w:r>
        <w:rPr>
          <w:rFonts w:ascii="宋体" w:hAnsi="宋体"/>
          <w:color w:val="000000"/>
          <w:sz w:val="24"/>
        </w:rPr>
        <w:t>4</w:t>
      </w:r>
      <w:r>
        <w:rPr>
          <w:rFonts w:hint="eastAsia" w:ascii="宋体" w:hAnsi="宋体"/>
          <w:color w:val="000000"/>
          <w:sz w:val="24"/>
        </w:rPr>
        <w:t>）估价对象权益状况</w:t>
      </w:r>
    </w:p>
    <w:p>
      <w:pPr>
        <w:spacing w:line="500" w:lineRule="exact"/>
        <w:ind w:firstLine="480" w:firstLineChars="200"/>
        <w:rPr>
          <w:rFonts w:ascii="宋体"/>
          <w:color w:val="000000"/>
          <w:sz w:val="24"/>
        </w:rPr>
      </w:pPr>
      <w:r>
        <w:rPr>
          <w:rFonts w:hint="eastAsia" w:ascii="宋体" w:hAnsi="宋体"/>
          <w:color w:val="000000"/>
          <w:sz w:val="24"/>
        </w:rPr>
        <w:t>估价对象新增权属纠纷或者发生严重影响交易当事人心理喜好的意外事故（如凶杀、恐怖活动等）。</w:t>
      </w:r>
    </w:p>
    <w:p>
      <w:pPr>
        <w:spacing w:line="500" w:lineRule="exact"/>
        <w:ind w:firstLine="480" w:firstLineChars="200"/>
        <w:rPr>
          <w:rFonts w:ascii="宋体"/>
          <w:color w:val="000000"/>
          <w:sz w:val="24"/>
        </w:rPr>
      </w:pPr>
      <w:r>
        <w:rPr>
          <w:rFonts w:ascii="宋体" w:hAnsi="宋体"/>
          <w:color w:val="000000"/>
          <w:sz w:val="24"/>
        </w:rPr>
        <w:t>3</w:t>
      </w:r>
      <w:r>
        <w:rPr>
          <w:rFonts w:hint="eastAsia" w:ascii="宋体" w:hAnsi="宋体"/>
          <w:color w:val="000000"/>
          <w:sz w:val="24"/>
        </w:rPr>
        <w:t>、</w:t>
      </w:r>
      <w:r>
        <w:rPr>
          <w:rFonts w:hint="eastAsia" w:ascii="宋体" w:cs="宋体"/>
          <w:color w:val="000000"/>
          <w:sz w:val="24"/>
        </w:rPr>
        <w:t>币种人民币，估价结果最终单价和总价均四舍五入保留至个位取整，其最终估价结果以《房地产市场价值估价结果汇总表》为准</w:t>
      </w:r>
      <w:r>
        <w:rPr>
          <w:rFonts w:hint="eastAsia" w:ascii="宋体" w:hAnsi="宋体"/>
          <w:color w:val="000000"/>
          <w:sz w:val="24"/>
        </w:rPr>
        <w:t>。</w:t>
      </w:r>
    </w:p>
    <w:p>
      <w:pPr>
        <w:spacing w:line="500" w:lineRule="exact"/>
        <w:ind w:firstLine="435"/>
        <w:rPr>
          <w:rFonts w:ascii="宋体"/>
          <w:color w:val="000000"/>
          <w:sz w:val="24"/>
        </w:rPr>
      </w:pPr>
      <w:r>
        <w:rPr>
          <w:rFonts w:ascii="宋体" w:hAnsi="宋体"/>
          <w:color w:val="000000"/>
          <w:sz w:val="24"/>
        </w:rPr>
        <w:t>4</w:t>
      </w:r>
      <w:r>
        <w:rPr>
          <w:rFonts w:hint="eastAsia" w:ascii="宋体" w:hAnsi="宋体"/>
          <w:color w:val="000000"/>
          <w:sz w:val="24"/>
        </w:rPr>
        <w:t>、本估价结果反映的是估价对象整体房地产价值，包含了土地使用权价值、房屋固有的设施设备工程价值及室内不可剥离的装饰装修价值。</w:t>
      </w:r>
    </w:p>
    <w:p>
      <w:pPr>
        <w:spacing w:line="500" w:lineRule="exact"/>
        <w:ind w:firstLine="435"/>
        <w:rPr>
          <w:rFonts w:ascii="宋体"/>
          <w:color w:val="000000"/>
          <w:sz w:val="24"/>
        </w:rPr>
      </w:pPr>
      <w:r>
        <w:rPr>
          <w:rFonts w:hint="eastAsia" w:ascii="宋体" w:hAnsi="宋体"/>
          <w:color w:val="000000"/>
          <w:sz w:val="24"/>
        </w:rPr>
        <w:t>实看估价对象宗地内有多种动产，因委托书未记载要求评估，经现场沟通不纳入估价范围，故本次估价范围不含宗地内可移动的动产。</w:t>
      </w:r>
    </w:p>
    <w:p>
      <w:pPr>
        <w:spacing w:line="500" w:lineRule="exact"/>
        <w:ind w:firstLine="480" w:firstLineChars="200"/>
        <w:rPr>
          <w:color w:val="000000"/>
          <w:sz w:val="24"/>
        </w:rPr>
      </w:pPr>
      <w:r>
        <w:rPr>
          <w:color w:val="000000"/>
          <w:sz w:val="24"/>
        </w:rPr>
        <w:t>5</w:t>
      </w:r>
      <w:r>
        <w:rPr>
          <w:rFonts w:hint="eastAsia"/>
          <w:color w:val="000000"/>
          <w:sz w:val="24"/>
        </w:rPr>
        <w:t>、本次估价结果反映的是按照法律法规规定、交易双方各自承担税费前提下的房地产市场价值</w:t>
      </w:r>
      <w:r>
        <w:rPr>
          <w:rFonts w:hint="eastAsia"/>
          <w:color w:val="000000"/>
          <w:kern w:val="0"/>
          <w:sz w:val="24"/>
        </w:rPr>
        <w:t>，</w:t>
      </w:r>
      <w:r>
        <w:rPr>
          <w:rFonts w:hint="eastAsia"/>
          <w:color w:val="000000"/>
          <w:sz w:val="24"/>
        </w:rPr>
        <w:t>未考虑若拍卖可能涉及的评估费、案件诉讼及执行费用、拍卖佣金、律师费及过户手续费等相关费用对估价结果的影响，为双方交易时各自承担应缴纳的契税、中介费、增值税及附加、土地增值税、过户费、印花税等相关税费及可能存在的滞纳金等非正常状态下费用前提下的价值，且没有考虑评估增值带来的土地增值税等影响。</w:t>
      </w:r>
    </w:p>
    <w:p>
      <w:pPr>
        <w:spacing w:line="500" w:lineRule="exact"/>
        <w:ind w:firstLine="450"/>
        <w:rPr>
          <w:color w:val="000000"/>
          <w:sz w:val="24"/>
        </w:rPr>
      </w:pPr>
      <w:r>
        <w:rPr>
          <w:color w:val="000000"/>
          <w:sz w:val="24"/>
        </w:rPr>
        <w:t>6</w:t>
      </w:r>
      <w:r>
        <w:rPr>
          <w:rFonts w:hint="eastAsia"/>
          <w:color w:val="000000"/>
          <w:sz w:val="24"/>
        </w:rPr>
        <w:t>、本估价结果没有考虑新冠疫情突发新增对估价对象未来房地产市场的影响。</w:t>
      </w:r>
    </w:p>
    <w:p>
      <w:pPr>
        <w:spacing w:line="500" w:lineRule="exact"/>
        <w:ind w:firstLine="450"/>
        <w:rPr>
          <w:color w:val="000000"/>
          <w:sz w:val="24"/>
        </w:rPr>
      </w:pPr>
      <w:r>
        <w:rPr>
          <w:color w:val="000000"/>
          <w:sz w:val="24"/>
        </w:rPr>
        <w:t>7</w:t>
      </w:r>
      <w:r>
        <w:rPr>
          <w:rFonts w:hint="eastAsia"/>
          <w:color w:val="000000"/>
          <w:sz w:val="24"/>
        </w:rPr>
        <w:t>、本次估价结果未考虑估价对象与相邻物业（北侧宗地及地上建构筑物）若整体处置、快速变现能力劣对价值的减值影响。</w:t>
      </w:r>
    </w:p>
    <w:p>
      <w:pPr>
        <w:spacing w:line="500" w:lineRule="exact"/>
        <w:ind w:firstLine="450"/>
        <w:rPr>
          <w:color w:val="000000"/>
          <w:sz w:val="24"/>
        </w:rPr>
      </w:pPr>
      <w:r>
        <w:rPr>
          <w:color w:val="000000"/>
          <w:sz w:val="24"/>
        </w:rPr>
        <w:t>8</w:t>
      </w:r>
      <w:r>
        <w:rPr>
          <w:rFonts w:hint="eastAsia"/>
          <w:color w:val="000000"/>
          <w:sz w:val="24"/>
        </w:rPr>
        <w:t>、本估价结果未考虑估价对象实际分类经营利用时在整体利用方式或整体处置对评估价格带来的影响。</w:t>
      </w:r>
    </w:p>
    <w:p>
      <w:pPr>
        <w:spacing w:line="500" w:lineRule="exact"/>
        <w:ind w:firstLine="450"/>
        <w:rPr>
          <w:color w:val="000000"/>
          <w:sz w:val="24"/>
        </w:rPr>
      </w:pPr>
      <w:r>
        <w:rPr>
          <w:color w:val="000000"/>
          <w:sz w:val="24"/>
        </w:rPr>
        <w:t>9</w:t>
      </w:r>
      <w:r>
        <w:rPr>
          <w:rFonts w:hint="eastAsia"/>
          <w:color w:val="000000"/>
          <w:sz w:val="24"/>
        </w:rPr>
        <w:t>、测绘报告记载共</w:t>
      </w:r>
      <w:r>
        <w:rPr>
          <w:color w:val="000000"/>
          <w:sz w:val="24"/>
        </w:rPr>
        <w:t>45.69</w:t>
      </w:r>
      <w:r>
        <w:rPr>
          <w:rFonts w:hint="eastAsia"/>
          <w:color w:val="000000"/>
          <w:sz w:val="24"/>
        </w:rPr>
        <w:t>㎡的无证建筑第</w:t>
      </w:r>
      <w:r>
        <w:rPr>
          <w:color w:val="000000"/>
          <w:sz w:val="24"/>
        </w:rPr>
        <w:t>2</w:t>
      </w:r>
      <w:r>
        <w:rPr>
          <w:rFonts w:hint="eastAsia"/>
          <w:color w:val="000000"/>
          <w:sz w:val="24"/>
        </w:rPr>
        <w:t>、</w:t>
      </w:r>
      <w:r>
        <w:rPr>
          <w:color w:val="000000"/>
          <w:sz w:val="24"/>
        </w:rPr>
        <w:t>6</w:t>
      </w:r>
      <w:r>
        <w:rPr>
          <w:rFonts w:hint="eastAsia"/>
          <w:color w:val="000000"/>
          <w:sz w:val="24"/>
        </w:rPr>
        <w:t>、</w:t>
      </w:r>
      <w:r>
        <w:rPr>
          <w:color w:val="000000"/>
          <w:sz w:val="24"/>
        </w:rPr>
        <w:t>7</w:t>
      </w:r>
      <w:r>
        <w:rPr>
          <w:rFonts w:hint="eastAsia"/>
          <w:color w:val="000000"/>
          <w:sz w:val="24"/>
        </w:rPr>
        <w:t>栋均系为园区内经营性用房提供配套服务的门卫房、小库房，不单独产生收益，故考虑其价值已体现在有证的经营性用房的评估价格中。</w:t>
      </w:r>
    </w:p>
    <w:p>
      <w:pPr>
        <w:spacing w:line="460" w:lineRule="exact"/>
        <w:ind w:firstLine="482" w:firstLineChars="200"/>
        <w:rPr>
          <w:b/>
          <w:bCs/>
          <w:color w:val="000000"/>
          <w:sz w:val="24"/>
        </w:rPr>
      </w:pPr>
      <w:r>
        <w:rPr>
          <w:rFonts w:hint="eastAsia"/>
          <w:b/>
          <w:bCs/>
          <w:color w:val="000000"/>
          <w:sz w:val="24"/>
        </w:rPr>
        <w:t>（二）其它说明</w:t>
      </w:r>
    </w:p>
    <w:p>
      <w:pPr>
        <w:spacing w:line="500" w:lineRule="exact"/>
        <w:ind w:firstLine="450"/>
        <w:rPr>
          <w:color w:val="000000"/>
          <w:sz w:val="24"/>
        </w:rPr>
      </w:pPr>
      <w:r>
        <w:rPr>
          <w:color w:val="000000"/>
          <w:sz w:val="24"/>
        </w:rPr>
        <w:t>1</w:t>
      </w:r>
      <w:r>
        <w:rPr>
          <w:rFonts w:hint="eastAsia"/>
          <w:color w:val="000000"/>
          <w:sz w:val="24"/>
        </w:rPr>
        <w:t>、估价委托人对所提供资料的真实性、完整性负责，估价机构仅对估价报告的操作程序和采用的估价方法的公允性负责。</w:t>
      </w:r>
    </w:p>
    <w:p>
      <w:pPr>
        <w:spacing w:line="500" w:lineRule="exact"/>
        <w:ind w:firstLine="450"/>
        <w:rPr>
          <w:color w:val="000000"/>
          <w:sz w:val="24"/>
        </w:rPr>
      </w:pPr>
      <w:r>
        <w:rPr>
          <w:color w:val="000000"/>
          <w:sz w:val="24"/>
        </w:rPr>
        <w:t>2</w:t>
      </w:r>
      <w:r>
        <w:rPr>
          <w:rFonts w:hint="eastAsia"/>
          <w:color w:val="000000"/>
          <w:sz w:val="24"/>
        </w:rPr>
        <w:t>、本报告估价人员与估价委托人除委托估价关系外，无其它任何利害关系。</w:t>
      </w:r>
    </w:p>
    <w:p>
      <w:pPr>
        <w:spacing w:line="500" w:lineRule="exact"/>
        <w:ind w:firstLine="450"/>
        <w:rPr>
          <w:color w:val="000000"/>
          <w:sz w:val="24"/>
        </w:rPr>
      </w:pPr>
      <w:r>
        <w:rPr>
          <w:color w:val="000000"/>
          <w:sz w:val="24"/>
        </w:rPr>
        <w:t>3</w:t>
      </w:r>
      <w:r>
        <w:rPr>
          <w:rFonts w:hint="eastAsia"/>
          <w:color w:val="000000"/>
          <w:sz w:val="24"/>
        </w:rPr>
        <w:t>、本报告未经本估价机构同意不得向估价委托人及有权审查部门之外的人员和单位提供，更不得在媒体上发表。</w:t>
      </w:r>
    </w:p>
    <w:p>
      <w:pPr>
        <w:spacing w:line="500" w:lineRule="exact"/>
        <w:ind w:firstLine="450"/>
        <w:rPr>
          <w:color w:val="000000"/>
          <w:sz w:val="24"/>
        </w:rPr>
      </w:pPr>
      <w:r>
        <w:rPr>
          <w:color w:val="000000"/>
          <w:sz w:val="24"/>
        </w:rPr>
        <w:t>4</w:t>
      </w:r>
      <w:r>
        <w:rPr>
          <w:rFonts w:hint="eastAsia"/>
          <w:color w:val="000000"/>
          <w:sz w:val="24"/>
        </w:rPr>
        <w:t>、</w:t>
      </w:r>
      <w:r>
        <w:rPr>
          <w:rFonts w:hint="eastAsia" w:ascii="宋体" w:hAnsi="宋体"/>
          <w:color w:val="000000"/>
          <w:sz w:val="24"/>
        </w:rPr>
        <w:t>本估价报告若出现文字或数字因打印、校对及其他原因发生误差时，请估价委托人及时通知本估价机构更正</w:t>
      </w:r>
      <w:r>
        <w:rPr>
          <w:rFonts w:hint="eastAsia"/>
          <w:color w:val="000000"/>
          <w:sz w:val="24"/>
        </w:rPr>
        <w:t>。</w:t>
      </w:r>
    </w:p>
    <w:p>
      <w:pPr>
        <w:spacing w:line="500" w:lineRule="exact"/>
        <w:ind w:firstLine="450"/>
        <w:rPr>
          <w:color w:val="000000"/>
          <w:sz w:val="24"/>
        </w:rPr>
      </w:pPr>
      <w:r>
        <w:rPr>
          <w:color w:val="000000"/>
          <w:sz w:val="24"/>
        </w:rPr>
        <w:t>5</w:t>
      </w:r>
      <w:r>
        <w:rPr>
          <w:rFonts w:hint="eastAsia"/>
          <w:color w:val="000000"/>
          <w:sz w:val="24"/>
        </w:rPr>
        <w:t>、本报告须待估价机构及估价人员签字盖章后方为有效，估价报告的全部或部分复印件均无效。</w:t>
      </w:r>
    </w:p>
    <w:p>
      <w:pPr>
        <w:spacing w:line="500" w:lineRule="exact"/>
        <w:outlineLvl w:val="0"/>
        <w:rPr>
          <w:snapToGrid w:val="0"/>
          <w:color w:val="000000"/>
          <w:kern w:val="0"/>
          <w:sz w:val="24"/>
          <w:szCs w:val="20"/>
        </w:rPr>
      </w:pPr>
      <w:r>
        <w:rPr>
          <w:rFonts w:hint="eastAsia"/>
          <w:b/>
          <w:bCs/>
          <w:snapToGrid w:val="0"/>
          <w:color w:val="000000"/>
          <w:kern w:val="0"/>
          <w:sz w:val="24"/>
          <w:szCs w:val="20"/>
        </w:rPr>
        <w:t>（三）房地产估价报告使用提示</w:t>
      </w:r>
    </w:p>
    <w:p>
      <w:pPr>
        <w:spacing w:line="500" w:lineRule="exact"/>
        <w:ind w:firstLine="480" w:firstLineChars="200"/>
        <w:rPr>
          <w:b/>
          <w:snapToGrid w:val="0"/>
          <w:color w:val="000000"/>
          <w:kern w:val="0"/>
          <w:sz w:val="24"/>
          <w:szCs w:val="20"/>
        </w:rPr>
      </w:pPr>
      <w:r>
        <w:rPr>
          <w:snapToGrid w:val="0"/>
          <w:color w:val="000000"/>
          <w:kern w:val="0"/>
          <w:sz w:val="24"/>
          <w:szCs w:val="20"/>
        </w:rPr>
        <w:t>1</w:t>
      </w:r>
      <w:r>
        <w:rPr>
          <w:rFonts w:hint="eastAsia"/>
          <w:snapToGrid w:val="0"/>
          <w:color w:val="000000"/>
          <w:kern w:val="0"/>
          <w:sz w:val="24"/>
          <w:szCs w:val="20"/>
        </w:rPr>
        <w:t>、</w:t>
      </w:r>
      <w:r>
        <w:rPr>
          <w:rFonts w:hint="eastAsia"/>
          <w:color w:val="000000"/>
          <w:sz w:val="24"/>
        </w:rPr>
        <w:t>使用本估价报告时，应注意在待处置期间，估价对象因不可抗力或意外等原因引起的灭失、毁损而承担价值减少的风险对房屋质量可能引起的破坏带来的价值影响。</w:t>
      </w:r>
    </w:p>
    <w:p>
      <w:pPr>
        <w:spacing w:line="500" w:lineRule="exact"/>
        <w:ind w:firstLine="480" w:firstLineChars="200"/>
        <w:rPr>
          <w:snapToGrid w:val="0"/>
          <w:color w:val="000000"/>
          <w:kern w:val="0"/>
          <w:sz w:val="24"/>
          <w:szCs w:val="20"/>
        </w:rPr>
      </w:pPr>
      <w:r>
        <w:rPr>
          <w:snapToGrid w:val="0"/>
          <w:color w:val="000000"/>
          <w:kern w:val="0"/>
          <w:sz w:val="24"/>
          <w:szCs w:val="20"/>
        </w:rPr>
        <w:t>2</w:t>
      </w:r>
      <w:r>
        <w:rPr>
          <w:rFonts w:hint="eastAsia"/>
          <w:snapToGrid w:val="0"/>
          <w:color w:val="000000"/>
          <w:kern w:val="0"/>
          <w:sz w:val="24"/>
          <w:szCs w:val="20"/>
        </w:rPr>
        <w:t>、估价报告使用者应合理使用估价价值，关注</w:t>
      </w:r>
      <w:r>
        <w:rPr>
          <w:rFonts w:hint="eastAsia"/>
          <w:snapToGrid w:val="0"/>
          <w:color w:val="000000"/>
          <w:kern w:val="0"/>
          <w:sz w:val="24"/>
        </w:rPr>
        <w:t>拍卖</w:t>
      </w:r>
      <w:r>
        <w:rPr>
          <w:rFonts w:hint="eastAsia"/>
          <w:snapToGrid w:val="0"/>
          <w:color w:val="000000"/>
          <w:kern w:val="0"/>
          <w:sz w:val="24"/>
          <w:szCs w:val="20"/>
        </w:rPr>
        <w:t>房地产时强制处分、快速变现及费用等因素对最终可实现的拍卖价格的影响。</w:t>
      </w:r>
    </w:p>
    <w:p>
      <w:pPr>
        <w:spacing w:line="500" w:lineRule="exact"/>
        <w:ind w:firstLine="480" w:firstLineChars="200"/>
        <w:rPr>
          <w:snapToGrid w:val="0"/>
          <w:color w:val="000000"/>
          <w:kern w:val="0"/>
          <w:sz w:val="24"/>
          <w:szCs w:val="20"/>
        </w:rPr>
      </w:pPr>
    </w:p>
    <w:p>
      <w:pPr>
        <w:spacing w:line="500" w:lineRule="exact"/>
        <w:ind w:firstLine="480" w:firstLineChars="200"/>
        <w:rPr>
          <w:snapToGrid w:val="0"/>
          <w:color w:val="000000"/>
          <w:kern w:val="0"/>
          <w:sz w:val="24"/>
          <w:szCs w:val="20"/>
        </w:rPr>
      </w:pPr>
    </w:p>
    <w:p>
      <w:pPr>
        <w:spacing w:line="500" w:lineRule="exact"/>
        <w:ind w:firstLine="450"/>
        <w:jc w:val="right"/>
        <w:rPr>
          <w:color w:val="000000"/>
          <w:sz w:val="24"/>
        </w:rPr>
      </w:pPr>
      <w:r>
        <w:rPr>
          <w:color w:val="000000"/>
          <w:sz w:val="24"/>
        </w:rPr>
        <w:t xml:space="preserve">                            </w:t>
      </w:r>
      <w:r>
        <w:rPr>
          <w:rFonts w:hint="eastAsia"/>
          <w:color w:val="000000"/>
          <w:sz w:val="24"/>
        </w:rPr>
        <w:t>二○二二年四月十八日</w:t>
      </w:r>
    </w:p>
    <w:p>
      <w:pPr>
        <w:spacing w:line="480" w:lineRule="exact"/>
        <w:ind w:firstLine="450"/>
        <w:jc w:val="center"/>
        <w:rPr>
          <w:color w:val="000000"/>
          <w:sz w:val="24"/>
        </w:rPr>
      </w:pPr>
      <w:r>
        <w:rPr>
          <w:color w:val="000000"/>
          <w:sz w:val="24"/>
        </w:rPr>
        <w:br w:type="page"/>
      </w:r>
      <w:r>
        <w:rPr>
          <w:rFonts w:hint="eastAsia" w:ascii="黑体" w:eastAsia="黑体"/>
          <w:b/>
          <w:color w:val="000000"/>
          <w:w w:val="200"/>
          <w:sz w:val="36"/>
        </w:rPr>
        <w:t>房地产估价结果报告</w:t>
      </w:r>
    </w:p>
    <w:p>
      <w:pPr>
        <w:pStyle w:val="5"/>
        <w:spacing w:line="480" w:lineRule="exact"/>
        <w:ind w:left="0" w:firstLine="0"/>
        <w:rPr>
          <w:rFonts w:ascii="宋体"/>
          <w:b/>
          <w:color w:val="000000"/>
          <w:sz w:val="24"/>
        </w:rPr>
      </w:pPr>
    </w:p>
    <w:p>
      <w:pPr>
        <w:pStyle w:val="5"/>
        <w:spacing w:line="480" w:lineRule="exact"/>
        <w:ind w:left="0" w:firstLine="0"/>
        <w:rPr>
          <w:rFonts w:ascii="宋体"/>
          <w:b/>
          <w:color w:val="000000"/>
          <w:sz w:val="24"/>
        </w:rPr>
      </w:pPr>
      <w:r>
        <w:rPr>
          <w:rFonts w:hint="eastAsia" w:ascii="宋体"/>
          <w:b/>
          <w:color w:val="000000"/>
          <w:sz w:val="24"/>
        </w:rPr>
        <w:t>一、估价委托人</w:t>
      </w:r>
    </w:p>
    <w:p>
      <w:pPr>
        <w:pStyle w:val="5"/>
        <w:spacing w:line="480" w:lineRule="exact"/>
        <w:ind w:left="0" w:firstLine="480" w:firstLineChars="200"/>
        <w:rPr>
          <w:snapToGrid w:val="0"/>
          <w:color w:val="000000"/>
          <w:kern w:val="0"/>
          <w:sz w:val="24"/>
          <w:szCs w:val="24"/>
        </w:rPr>
      </w:pPr>
      <w:r>
        <w:rPr>
          <w:rFonts w:hint="eastAsia"/>
          <w:bCs/>
          <w:snapToGrid w:val="0"/>
          <w:color w:val="000000"/>
          <w:kern w:val="0"/>
          <w:sz w:val="24"/>
          <w:szCs w:val="24"/>
        </w:rPr>
        <w:t>名</w:t>
      </w:r>
      <w:r>
        <w:rPr>
          <w:bCs/>
          <w:snapToGrid w:val="0"/>
          <w:color w:val="000000"/>
          <w:kern w:val="0"/>
          <w:sz w:val="24"/>
          <w:szCs w:val="24"/>
        </w:rPr>
        <w:t xml:space="preserve">    </w:t>
      </w:r>
      <w:r>
        <w:rPr>
          <w:rFonts w:hint="eastAsia"/>
          <w:bCs/>
          <w:snapToGrid w:val="0"/>
          <w:color w:val="000000"/>
          <w:kern w:val="0"/>
          <w:sz w:val="24"/>
          <w:szCs w:val="24"/>
        </w:rPr>
        <w:t>称：</w:t>
      </w:r>
      <w:r>
        <w:rPr>
          <w:rFonts w:hint="eastAsia"/>
          <w:snapToGrid w:val="0"/>
          <w:color w:val="000000"/>
          <w:kern w:val="0"/>
          <w:sz w:val="24"/>
          <w:szCs w:val="24"/>
        </w:rPr>
        <w:t>四川省成都市中级人民法院</w:t>
      </w:r>
    </w:p>
    <w:p>
      <w:pPr>
        <w:pStyle w:val="5"/>
        <w:spacing w:line="480" w:lineRule="exact"/>
        <w:ind w:left="0" w:firstLine="0"/>
        <w:rPr>
          <w:rFonts w:ascii="宋体"/>
          <w:b/>
          <w:color w:val="000000"/>
          <w:sz w:val="24"/>
        </w:rPr>
      </w:pPr>
      <w:r>
        <w:rPr>
          <w:rFonts w:hint="eastAsia" w:ascii="宋体"/>
          <w:b/>
          <w:color w:val="000000"/>
          <w:sz w:val="24"/>
        </w:rPr>
        <w:t>二、房地产估价机构</w:t>
      </w:r>
    </w:p>
    <w:p>
      <w:pPr>
        <w:pStyle w:val="11"/>
        <w:spacing w:after="0" w:line="480" w:lineRule="exact"/>
        <w:ind w:left="0" w:firstLine="480" w:firstLineChars="200"/>
        <w:rPr>
          <w:color w:val="000000"/>
          <w:sz w:val="24"/>
          <w:szCs w:val="24"/>
        </w:rPr>
      </w:pPr>
      <w:r>
        <w:rPr>
          <w:rFonts w:hint="eastAsia" w:cs="宋体"/>
          <w:color w:val="000000"/>
          <w:sz w:val="24"/>
          <w:szCs w:val="24"/>
        </w:rPr>
        <w:t>机构名称：四川省同正地产房地产估价有限责任公司</w:t>
      </w:r>
    </w:p>
    <w:p>
      <w:pPr>
        <w:pStyle w:val="11"/>
        <w:spacing w:after="0" w:line="480" w:lineRule="exact"/>
        <w:ind w:left="0" w:firstLine="480" w:firstLineChars="200"/>
        <w:rPr>
          <w:color w:val="000000"/>
          <w:sz w:val="24"/>
          <w:szCs w:val="24"/>
        </w:rPr>
      </w:pPr>
      <w:r>
        <w:rPr>
          <w:rFonts w:hint="eastAsia" w:cs="宋体"/>
          <w:color w:val="000000"/>
          <w:sz w:val="24"/>
          <w:szCs w:val="24"/>
        </w:rPr>
        <w:t>地址：成都市鼓楼南街</w:t>
      </w:r>
      <w:r>
        <w:rPr>
          <w:snapToGrid w:val="0"/>
          <w:color w:val="000000"/>
          <w:kern w:val="0"/>
          <w:sz w:val="24"/>
          <w:szCs w:val="24"/>
        </w:rPr>
        <w:t>117</w:t>
      </w:r>
      <w:r>
        <w:rPr>
          <w:rFonts w:hint="eastAsia" w:cs="宋体"/>
          <w:snapToGrid w:val="0"/>
          <w:color w:val="000000"/>
          <w:kern w:val="0"/>
          <w:sz w:val="24"/>
          <w:szCs w:val="24"/>
        </w:rPr>
        <w:t>号世贸中心</w:t>
      </w:r>
      <w:r>
        <w:rPr>
          <w:snapToGrid w:val="0"/>
          <w:color w:val="000000"/>
          <w:kern w:val="0"/>
          <w:sz w:val="24"/>
          <w:szCs w:val="24"/>
        </w:rPr>
        <w:t>A</w:t>
      </w:r>
      <w:r>
        <w:rPr>
          <w:rFonts w:hint="eastAsia" w:cs="宋体"/>
          <w:snapToGrid w:val="0"/>
          <w:color w:val="000000"/>
          <w:kern w:val="0"/>
          <w:sz w:val="24"/>
          <w:szCs w:val="24"/>
        </w:rPr>
        <w:t>座</w:t>
      </w:r>
      <w:r>
        <w:rPr>
          <w:snapToGrid w:val="0"/>
          <w:color w:val="000000"/>
          <w:kern w:val="0"/>
          <w:sz w:val="24"/>
          <w:szCs w:val="24"/>
        </w:rPr>
        <w:t>1706</w:t>
      </w:r>
      <w:r>
        <w:rPr>
          <w:rFonts w:hint="eastAsia" w:cs="宋体"/>
          <w:color w:val="000000"/>
          <w:sz w:val="24"/>
          <w:szCs w:val="24"/>
        </w:rPr>
        <w:t>室</w:t>
      </w:r>
    </w:p>
    <w:p>
      <w:pPr>
        <w:pStyle w:val="11"/>
        <w:spacing w:after="0" w:line="480" w:lineRule="exact"/>
        <w:ind w:left="0" w:firstLine="480" w:firstLineChars="200"/>
        <w:rPr>
          <w:color w:val="000000"/>
          <w:sz w:val="24"/>
          <w:szCs w:val="24"/>
        </w:rPr>
      </w:pPr>
      <w:r>
        <w:rPr>
          <w:rFonts w:hint="eastAsia" w:cs="宋体"/>
          <w:color w:val="000000"/>
          <w:sz w:val="24"/>
          <w:szCs w:val="24"/>
        </w:rPr>
        <w:t>法定代表人：刘晓娟</w:t>
      </w:r>
    </w:p>
    <w:p>
      <w:pPr>
        <w:pStyle w:val="11"/>
        <w:spacing w:after="0" w:line="480" w:lineRule="exact"/>
        <w:ind w:left="0" w:firstLine="480" w:firstLineChars="200"/>
        <w:rPr>
          <w:color w:val="000000"/>
          <w:sz w:val="24"/>
          <w:szCs w:val="24"/>
        </w:rPr>
      </w:pPr>
      <w:r>
        <w:rPr>
          <w:rFonts w:hint="eastAsia" w:cs="宋体"/>
          <w:color w:val="000000"/>
          <w:sz w:val="24"/>
          <w:szCs w:val="24"/>
        </w:rPr>
        <w:t>统一社会代码：</w:t>
      </w:r>
      <w:r>
        <w:rPr>
          <w:color w:val="000000"/>
          <w:sz w:val="24"/>
          <w:szCs w:val="24"/>
        </w:rPr>
        <w:t>91510000201851805M</w:t>
      </w:r>
    </w:p>
    <w:p>
      <w:pPr>
        <w:pStyle w:val="11"/>
        <w:spacing w:after="0" w:line="480" w:lineRule="exact"/>
        <w:ind w:left="0" w:firstLine="480" w:firstLineChars="200"/>
        <w:rPr>
          <w:color w:val="000000"/>
          <w:sz w:val="24"/>
          <w:szCs w:val="24"/>
        </w:rPr>
      </w:pPr>
      <w:r>
        <w:rPr>
          <w:rFonts w:hint="eastAsia" w:cs="宋体"/>
          <w:color w:val="000000"/>
          <w:sz w:val="24"/>
          <w:szCs w:val="24"/>
        </w:rPr>
        <w:t>资质等级：壹级</w:t>
      </w:r>
    </w:p>
    <w:p>
      <w:pPr>
        <w:pStyle w:val="23"/>
        <w:spacing w:line="480" w:lineRule="exact"/>
        <w:ind w:left="0" w:firstLine="480" w:firstLineChars="200"/>
        <w:rPr>
          <w:color w:val="000000"/>
          <w:sz w:val="24"/>
          <w:szCs w:val="24"/>
        </w:rPr>
      </w:pPr>
      <w:r>
        <w:rPr>
          <w:rFonts w:hint="eastAsia" w:cs="宋体"/>
          <w:color w:val="000000"/>
          <w:sz w:val="24"/>
          <w:szCs w:val="24"/>
        </w:rPr>
        <w:t>证书编号：川建房估备字【</w:t>
      </w:r>
      <w:r>
        <w:rPr>
          <w:snapToGrid w:val="0"/>
          <w:color w:val="000000"/>
          <w:kern w:val="0"/>
          <w:sz w:val="24"/>
          <w:szCs w:val="24"/>
        </w:rPr>
        <w:t>2019</w:t>
      </w:r>
      <w:r>
        <w:rPr>
          <w:rFonts w:hint="eastAsia" w:cs="宋体"/>
          <w:color w:val="000000"/>
          <w:sz w:val="24"/>
          <w:szCs w:val="24"/>
        </w:rPr>
        <w:t>】</w:t>
      </w:r>
      <w:r>
        <w:rPr>
          <w:snapToGrid w:val="0"/>
          <w:color w:val="000000"/>
          <w:kern w:val="0"/>
          <w:sz w:val="24"/>
          <w:szCs w:val="24"/>
        </w:rPr>
        <w:t>0234</w:t>
      </w:r>
      <w:r>
        <w:rPr>
          <w:rFonts w:hint="eastAsia" w:cs="宋体"/>
          <w:color w:val="000000"/>
          <w:sz w:val="24"/>
          <w:szCs w:val="24"/>
        </w:rPr>
        <w:t>号</w:t>
      </w:r>
    </w:p>
    <w:p>
      <w:pPr>
        <w:pStyle w:val="11"/>
        <w:spacing w:after="0" w:line="480" w:lineRule="exact"/>
        <w:ind w:left="0" w:firstLine="480" w:firstLineChars="200"/>
        <w:rPr>
          <w:rFonts w:cs="宋体"/>
          <w:color w:val="000000"/>
          <w:sz w:val="24"/>
          <w:szCs w:val="24"/>
        </w:rPr>
      </w:pPr>
      <w:r>
        <w:rPr>
          <w:rFonts w:hint="eastAsia" w:cs="宋体"/>
          <w:color w:val="000000"/>
          <w:sz w:val="24"/>
          <w:szCs w:val="24"/>
        </w:rPr>
        <w:t>有效期限：</w:t>
      </w:r>
      <w:r>
        <w:rPr>
          <w:rFonts w:cs="宋体"/>
          <w:color w:val="000000"/>
          <w:sz w:val="24"/>
          <w:szCs w:val="24"/>
        </w:rPr>
        <w:t>2019</w:t>
      </w:r>
      <w:r>
        <w:rPr>
          <w:rFonts w:hint="eastAsia" w:cs="宋体"/>
          <w:color w:val="000000"/>
          <w:sz w:val="24"/>
          <w:szCs w:val="24"/>
        </w:rPr>
        <w:t>年</w:t>
      </w:r>
      <w:r>
        <w:rPr>
          <w:rFonts w:cs="宋体"/>
          <w:color w:val="000000"/>
          <w:sz w:val="24"/>
          <w:szCs w:val="24"/>
        </w:rPr>
        <w:t>07</w:t>
      </w:r>
      <w:r>
        <w:rPr>
          <w:rFonts w:hint="eastAsia" w:cs="宋体"/>
          <w:color w:val="000000"/>
          <w:sz w:val="24"/>
          <w:szCs w:val="24"/>
        </w:rPr>
        <w:t>月</w:t>
      </w:r>
      <w:r>
        <w:rPr>
          <w:rFonts w:cs="宋体"/>
          <w:color w:val="000000"/>
          <w:sz w:val="24"/>
          <w:szCs w:val="24"/>
        </w:rPr>
        <w:t>24</w:t>
      </w:r>
      <w:r>
        <w:rPr>
          <w:rFonts w:hint="eastAsia" w:cs="宋体"/>
          <w:color w:val="000000"/>
          <w:sz w:val="24"/>
          <w:szCs w:val="24"/>
        </w:rPr>
        <w:t>日</w:t>
      </w:r>
      <w:r>
        <w:rPr>
          <w:rFonts w:cs="宋体"/>
          <w:color w:val="000000"/>
          <w:sz w:val="24"/>
          <w:szCs w:val="24"/>
        </w:rPr>
        <w:t>—2022</w:t>
      </w:r>
      <w:r>
        <w:rPr>
          <w:rFonts w:hint="eastAsia" w:cs="宋体"/>
          <w:color w:val="000000"/>
          <w:sz w:val="24"/>
          <w:szCs w:val="24"/>
        </w:rPr>
        <w:t>年</w:t>
      </w:r>
      <w:r>
        <w:rPr>
          <w:rFonts w:cs="宋体"/>
          <w:color w:val="000000"/>
          <w:sz w:val="24"/>
          <w:szCs w:val="24"/>
        </w:rPr>
        <w:t>07</w:t>
      </w:r>
      <w:r>
        <w:rPr>
          <w:rFonts w:hint="eastAsia" w:cs="宋体"/>
          <w:color w:val="000000"/>
          <w:sz w:val="24"/>
          <w:szCs w:val="24"/>
        </w:rPr>
        <w:t>月</w:t>
      </w:r>
      <w:r>
        <w:rPr>
          <w:rFonts w:cs="宋体"/>
          <w:color w:val="000000"/>
          <w:sz w:val="24"/>
          <w:szCs w:val="24"/>
        </w:rPr>
        <w:t>24</w:t>
      </w:r>
      <w:r>
        <w:rPr>
          <w:rFonts w:hint="eastAsia" w:cs="宋体"/>
          <w:color w:val="000000"/>
          <w:sz w:val="24"/>
          <w:szCs w:val="24"/>
        </w:rPr>
        <w:t>日</w:t>
      </w:r>
    </w:p>
    <w:p>
      <w:pPr>
        <w:pStyle w:val="5"/>
        <w:spacing w:line="480" w:lineRule="exact"/>
        <w:ind w:left="0" w:firstLine="0"/>
        <w:rPr>
          <w:rFonts w:ascii="宋体"/>
          <w:b/>
          <w:color w:val="000000"/>
          <w:sz w:val="24"/>
        </w:rPr>
      </w:pPr>
      <w:r>
        <w:rPr>
          <w:rFonts w:hint="eastAsia" w:ascii="宋体"/>
          <w:b/>
          <w:color w:val="000000"/>
          <w:sz w:val="24"/>
        </w:rPr>
        <w:t>三、估价目的</w:t>
      </w:r>
    </w:p>
    <w:p>
      <w:pPr>
        <w:pStyle w:val="5"/>
        <w:spacing w:line="480" w:lineRule="exact"/>
        <w:ind w:left="0" w:firstLine="480" w:firstLineChars="200"/>
        <w:rPr>
          <w:color w:val="000000"/>
          <w:sz w:val="24"/>
        </w:rPr>
      </w:pPr>
      <w:r>
        <w:rPr>
          <w:rFonts w:hint="eastAsia"/>
          <w:snapToGrid w:val="0"/>
          <w:color w:val="000000"/>
          <w:kern w:val="0"/>
          <w:sz w:val="24"/>
          <w:szCs w:val="24"/>
        </w:rPr>
        <w:t>为四川省成都市中级人民法院确定财产处置参考价提供市场价值参考依据，而评估</w:t>
      </w:r>
      <w:r>
        <w:rPr>
          <w:rFonts w:hint="eastAsia"/>
          <w:snapToGrid w:val="0"/>
          <w:color w:val="000000"/>
          <w:kern w:val="0"/>
          <w:sz w:val="24"/>
        </w:rPr>
        <w:t>房地产市场价值。</w:t>
      </w:r>
    </w:p>
    <w:p>
      <w:pPr>
        <w:pStyle w:val="5"/>
        <w:spacing w:line="480" w:lineRule="exact"/>
        <w:ind w:left="0" w:firstLine="0"/>
        <w:rPr>
          <w:rFonts w:ascii="宋体"/>
          <w:b/>
          <w:color w:val="000000"/>
          <w:sz w:val="24"/>
        </w:rPr>
      </w:pPr>
      <w:r>
        <w:rPr>
          <w:rFonts w:hint="eastAsia" w:ascii="宋体"/>
          <w:b/>
          <w:color w:val="000000"/>
          <w:sz w:val="24"/>
        </w:rPr>
        <w:t>四、估价对象</w:t>
      </w:r>
    </w:p>
    <w:p>
      <w:pPr>
        <w:pStyle w:val="5"/>
        <w:spacing w:line="480" w:lineRule="exact"/>
        <w:ind w:left="418" w:leftChars="199" w:firstLine="0"/>
        <w:outlineLvl w:val="0"/>
        <w:rPr>
          <w:rFonts w:ascii="宋体"/>
          <w:color w:val="000000"/>
          <w:sz w:val="24"/>
        </w:rPr>
      </w:pPr>
      <w:r>
        <w:rPr>
          <w:rFonts w:hint="eastAsia" w:ascii="宋体"/>
          <w:b/>
          <w:color w:val="000000"/>
          <w:sz w:val="24"/>
        </w:rPr>
        <w:t>（一）估价范围</w:t>
      </w:r>
    </w:p>
    <w:p>
      <w:pPr>
        <w:spacing w:line="480" w:lineRule="exact"/>
        <w:ind w:firstLine="460" w:firstLineChars="192"/>
        <w:rPr>
          <w:rFonts w:hAnsi="宋体"/>
          <w:color w:val="000000"/>
          <w:sz w:val="24"/>
        </w:rPr>
      </w:pPr>
      <w:bookmarkStart w:id="0" w:name="_Hlk87442380"/>
      <w:r>
        <w:rPr>
          <w:rFonts w:hint="eastAsia" w:hAnsi="宋体"/>
          <w:color w:val="000000"/>
          <w:sz w:val="24"/>
        </w:rPr>
        <w:t>估价委托人四川省成都市中级人民法院在执行成都鑫汇蓉和企业管理合伙企业（有限合伙）与成都中汇制药有限公司、四川怡和企业有限责任公司、成都怡和天地房地产开发有限公司、四川怡和置业有限公司金融借款合同纠纷一案中，需确定下列财产的处置参考价，委托我公司对成都中汇制药有限公司所有的位于成都市金牛区金牛乡高家村</w:t>
      </w:r>
      <w:r>
        <w:rPr>
          <w:rFonts w:hAnsi="宋体"/>
          <w:color w:val="000000"/>
          <w:sz w:val="24"/>
        </w:rPr>
        <w:t>7</w:t>
      </w:r>
      <w:r>
        <w:rPr>
          <w:rFonts w:hint="eastAsia" w:hAnsi="宋体"/>
          <w:color w:val="000000"/>
          <w:sz w:val="24"/>
        </w:rPr>
        <w:t>、</w:t>
      </w:r>
      <w:r>
        <w:rPr>
          <w:rFonts w:hAnsi="宋体"/>
          <w:color w:val="000000"/>
          <w:sz w:val="24"/>
        </w:rPr>
        <w:t>8</w:t>
      </w:r>
      <w:r>
        <w:rPr>
          <w:rFonts w:hint="eastAsia" w:hAnsi="宋体"/>
          <w:color w:val="000000"/>
          <w:sz w:val="24"/>
        </w:rPr>
        <w:t>组土地使用权【成国用（</w:t>
      </w:r>
      <w:r>
        <w:rPr>
          <w:rFonts w:hAnsi="宋体"/>
          <w:color w:val="000000"/>
          <w:sz w:val="24"/>
        </w:rPr>
        <w:t>2005</w:t>
      </w:r>
      <w:r>
        <w:rPr>
          <w:rFonts w:hint="eastAsia" w:hAnsi="宋体"/>
          <w:color w:val="000000"/>
          <w:sz w:val="24"/>
        </w:rPr>
        <w:t>）第</w:t>
      </w:r>
      <w:r>
        <w:rPr>
          <w:rFonts w:hAnsi="宋体"/>
          <w:color w:val="000000"/>
          <w:sz w:val="24"/>
        </w:rPr>
        <w:t>866</w:t>
      </w:r>
      <w:r>
        <w:rPr>
          <w:rFonts w:hint="eastAsia" w:hAnsi="宋体"/>
          <w:color w:val="000000"/>
          <w:sz w:val="24"/>
        </w:rPr>
        <w:t>号】、金牛区蜀西路</w:t>
      </w:r>
      <w:r>
        <w:rPr>
          <w:rFonts w:hAnsi="宋体"/>
          <w:color w:val="000000"/>
          <w:sz w:val="24"/>
        </w:rPr>
        <w:t>30</w:t>
      </w:r>
      <w:r>
        <w:rPr>
          <w:rFonts w:hint="eastAsia" w:hAnsi="宋体"/>
          <w:color w:val="000000"/>
          <w:sz w:val="24"/>
        </w:rPr>
        <w:t>号</w:t>
      </w:r>
      <w:r>
        <w:rPr>
          <w:rFonts w:hAnsi="宋体"/>
          <w:color w:val="000000"/>
          <w:sz w:val="24"/>
        </w:rPr>
        <w:t>1</w:t>
      </w:r>
      <w:r>
        <w:rPr>
          <w:rFonts w:hint="eastAsia" w:hAnsi="宋体"/>
          <w:color w:val="000000"/>
          <w:sz w:val="24"/>
        </w:rPr>
        <w:t>栋</w:t>
      </w:r>
      <w:r>
        <w:rPr>
          <w:rFonts w:hAnsi="宋体"/>
          <w:color w:val="000000"/>
          <w:sz w:val="24"/>
        </w:rPr>
        <w:t>1-2</w:t>
      </w:r>
      <w:r>
        <w:rPr>
          <w:rFonts w:hint="eastAsia" w:hAnsi="宋体"/>
          <w:color w:val="000000"/>
          <w:sz w:val="24"/>
        </w:rPr>
        <w:t>楼、</w:t>
      </w:r>
      <w:r>
        <w:rPr>
          <w:rFonts w:hAnsi="宋体"/>
          <w:color w:val="000000"/>
          <w:sz w:val="24"/>
        </w:rPr>
        <w:t>1-6</w:t>
      </w:r>
      <w:r>
        <w:rPr>
          <w:rFonts w:hint="eastAsia" w:hAnsi="宋体"/>
          <w:color w:val="000000"/>
          <w:sz w:val="24"/>
        </w:rPr>
        <w:t>楼、</w:t>
      </w:r>
      <w:r>
        <w:rPr>
          <w:rFonts w:hAnsi="宋体"/>
          <w:color w:val="000000"/>
          <w:sz w:val="24"/>
        </w:rPr>
        <w:t>2</w:t>
      </w:r>
      <w:r>
        <w:rPr>
          <w:rFonts w:hint="eastAsia" w:hAnsi="宋体"/>
          <w:color w:val="000000"/>
          <w:sz w:val="24"/>
        </w:rPr>
        <w:t>栋</w:t>
      </w:r>
      <w:r>
        <w:rPr>
          <w:rFonts w:hAnsi="宋体"/>
          <w:color w:val="000000"/>
          <w:sz w:val="24"/>
        </w:rPr>
        <w:t>1-2</w:t>
      </w:r>
      <w:r>
        <w:rPr>
          <w:rFonts w:hint="eastAsia" w:hAnsi="宋体"/>
          <w:color w:val="000000"/>
          <w:sz w:val="24"/>
        </w:rPr>
        <w:t>楼，</w:t>
      </w:r>
      <w:r>
        <w:rPr>
          <w:rFonts w:hAnsi="宋体"/>
          <w:color w:val="000000"/>
          <w:sz w:val="24"/>
        </w:rPr>
        <w:t>2</w:t>
      </w:r>
      <w:r>
        <w:rPr>
          <w:rFonts w:hint="eastAsia" w:hAnsi="宋体"/>
          <w:color w:val="000000"/>
          <w:sz w:val="24"/>
        </w:rPr>
        <w:t>栋</w:t>
      </w:r>
      <w:r>
        <w:rPr>
          <w:rFonts w:hAnsi="宋体"/>
          <w:color w:val="000000"/>
          <w:sz w:val="24"/>
        </w:rPr>
        <w:t>3</w:t>
      </w:r>
      <w:r>
        <w:rPr>
          <w:rFonts w:hint="eastAsia" w:hAnsi="宋体"/>
          <w:color w:val="000000"/>
          <w:sz w:val="24"/>
        </w:rPr>
        <w:t>楼，</w:t>
      </w:r>
      <w:r>
        <w:rPr>
          <w:rFonts w:hAnsi="宋体"/>
          <w:color w:val="000000"/>
          <w:sz w:val="24"/>
        </w:rPr>
        <w:t>3</w:t>
      </w:r>
      <w:r>
        <w:rPr>
          <w:rFonts w:hint="eastAsia" w:hAnsi="宋体"/>
          <w:color w:val="000000"/>
          <w:sz w:val="24"/>
        </w:rPr>
        <w:t>栋</w:t>
      </w:r>
      <w:r>
        <w:rPr>
          <w:rFonts w:hAnsi="宋体"/>
          <w:color w:val="000000"/>
          <w:sz w:val="24"/>
        </w:rPr>
        <w:t>1</w:t>
      </w:r>
      <w:r>
        <w:rPr>
          <w:rFonts w:hint="eastAsia" w:hAnsi="宋体"/>
          <w:color w:val="000000"/>
          <w:sz w:val="24"/>
        </w:rPr>
        <w:t>楼、</w:t>
      </w:r>
      <w:r>
        <w:rPr>
          <w:rFonts w:hAnsi="宋体"/>
          <w:color w:val="000000"/>
          <w:sz w:val="24"/>
        </w:rPr>
        <w:t>1-6</w:t>
      </w:r>
      <w:r>
        <w:rPr>
          <w:rFonts w:hint="eastAsia" w:hAnsi="宋体"/>
          <w:color w:val="000000"/>
          <w:sz w:val="24"/>
        </w:rPr>
        <w:t>楼房屋【蓉房权证成监字第</w:t>
      </w:r>
      <w:r>
        <w:rPr>
          <w:rFonts w:hAnsi="宋体"/>
          <w:color w:val="000000"/>
          <w:sz w:val="24"/>
        </w:rPr>
        <w:t>0998455</w:t>
      </w:r>
      <w:r>
        <w:rPr>
          <w:rFonts w:hint="eastAsia" w:hAnsi="宋体"/>
          <w:color w:val="000000"/>
          <w:sz w:val="24"/>
        </w:rPr>
        <w:t>号、成房权证监证字第</w:t>
      </w:r>
      <w:r>
        <w:rPr>
          <w:rFonts w:hAnsi="宋体"/>
          <w:color w:val="000000"/>
          <w:sz w:val="24"/>
        </w:rPr>
        <w:t>2069860</w:t>
      </w:r>
      <w:r>
        <w:rPr>
          <w:rFonts w:hint="eastAsia" w:hAnsi="宋体"/>
          <w:color w:val="000000"/>
          <w:sz w:val="24"/>
        </w:rPr>
        <w:t>、</w:t>
      </w:r>
      <w:r>
        <w:rPr>
          <w:rFonts w:hAnsi="宋体"/>
          <w:color w:val="000000"/>
          <w:sz w:val="24"/>
        </w:rPr>
        <w:t>2069857</w:t>
      </w:r>
      <w:r>
        <w:rPr>
          <w:rFonts w:hint="eastAsia" w:hAnsi="宋体"/>
          <w:color w:val="000000"/>
          <w:sz w:val="24"/>
        </w:rPr>
        <w:t>、</w:t>
      </w:r>
      <w:r>
        <w:rPr>
          <w:rFonts w:hAnsi="宋体"/>
          <w:color w:val="000000"/>
          <w:sz w:val="24"/>
        </w:rPr>
        <w:t>2069856</w:t>
      </w:r>
      <w:r>
        <w:rPr>
          <w:rFonts w:hint="eastAsia" w:hAnsi="宋体"/>
          <w:color w:val="000000"/>
          <w:sz w:val="24"/>
        </w:rPr>
        <w:t>号】房地产进行市场价值评估。</w:t>
      </w:r>
    </w:p>
    <w:p>
      <w:pPr>
        <w:spacing w:line="480" w:lineRule="exact"/>
        <w:ind w:firstLine="453" w:firstLineChars="192"/>
        <w:rPr>
          <w:rFonts w:hAnsi="宋体"/>
          <w:color w:val="000000"/>
          <w:sz w:val="24"/>
        </w:rPr>
      </w:pPr>
      <w:r>
        <w:rPr>
          <w:snapToGrid w:val="0"/>
          <w:color w:val="000000"/>
          <w:spacing w:val="-2"/>
          <w:kern w:val="0"/>
          <w:sz w:val="24"/>
        </w:rPr>
        <w:t>1</w:t>
      </w:r>
      <w:r>
        <w:rPr>
          <w:rFonts w:hint="eastAsia"/>
          <w:snapToGrid w:val="0"/>
          <w:color w:val="000000"/>
          <w:spacing w:val="-2"/>
          <w:kern w:val="0"/>
          <w:sz w:val="24"/>
        </w:rPr>
        <w:t>、本次估价范围</w:t>
      </w:r>
    </w:p>
    <w:p>
      <w:pPr>
        <w:spacing w:line="480" w:lineRule="exact"/>
        <w:ind w:firstLine="460" w:firstLineChars="192"/>
        <w:rPr>
          <w:rFonts w:hAnsi="宋体"/>
          <w:color w:val="000000"/>
          <w:sz w:val="24"/>
        </w:rPr>
      </w:pPr>
      <w:r>
        <w:rPr>
          <w:rFonts w:hint="eastAsia" w:hAnsi="宋体"/>
          <w:color w:val="000000"/>
          <w:sz w:val="24"/>
        </w:rPr>
        <w:t>本估价报告对应的估价范围为：成国用（</w:t>
      </w:r>
      <w:r>
        <w:rPr>
          <w:rFonts w:hAnsi="宋体"/>
          <w:color w:val="000000"/>
          <w:sz w:val="24"/>
        </w:rPr>
        <w:t>2005</w:t>
      </w:r>
      <w:r>
        <w:rPr>
          <w:rFonts w:hint="eastAsia" w:hAnsi="宋体"/>
          <w:color w:val="000000"/>
          <w:sz w:val="24"/>
        </w:rPr>
        <w:t>）第</w:t>
      </w:r>
      <w:r>
        <w:rPr>
          <w:rFonts w:hAnsi="宋体"/>
          <w:color w:val="000000"/>
          <w:sz w:val="24"/>
        </w:rPr>
        <w:t>866</w:t>
      </w:r>
      <w:r>
        <w:rPr>
          <w:rFonts w:hint="eastAsia" w:hAnsi="宋体"/>
          <w:color w:val="000000"/>
          <w:sz w:val="24"/>
        </w:rPr>
        <w:t>号《国有土地使用证》项下的出让工业用地土地使用权面积为</w:t>
      </w:r>
      <w:r>
        <w:rPr>
          <w:rFonts w:hAnsi="宋体"/>
          <w:color w:val="000000"/>
          <w:sz w:val="24"/>
        </w:rPr>
        <w:t>21564.79</w:t>
      </w:r>
      <w:r>
        <w:rPr>
          <w:rFonts w:hint="eastAsia" w:hAnsi="宋体"/>
          <w:color w:val="000000"/>
          <w:sz w:val="24"/>
        </w:rPr>
        <w:t>㎡，及该宗地上总建筑面积共</w:t>
      </w:r>
      <w:r>
        <w:rPr>
          <w:rFonts w:hAnsi="宋体"/>
          <w:color w:val="000000"/>
          <w:sz w:val="24"/>
        </w:rPr>
        <w:t>31454.69</w:t>
      </w:r>
      <w:r>
        <w:rPr>
          <w:rFonts w:hint="eastAsia" w:hAnsi="宋体"/>
          <w:color w:val="000000"/>
          <w:sz w:val="24"/>
        </w:rPr>
        <w:t>㎡的</w:t>
      </w:r>
      <w:r>
        <w:rPr>
          <w:rFonts w:hAnsi="宋体"/>
          <w:color w:val="000000"/>
          <w:sz w:val="24"/>
        </w:rPr>
        <w:t>7</w:t>
      </w:r>
      <w:r>
        <w:rPr>
          <w:rFonts w:hint="eastAsia" w:hAnsi="宋体"/>
          <w:color w:val="000000"/>
          <w:sz w:val="24"/>
        </w:rPr>
        <w:t>栋建筑物（其中有证建筑物共</w:t>
      </w:r>
      <w:r>
        <w:rPr>
          <w:rFonts w:hAnsi="宋体"/>
          <w:color w:val="000000"/>
          <w:sz w:val="24"/>
        </w:rPr>
        <w:t>3</w:t>
      </w:r>
      <w:r>
        <w:rPr>
          <w:rFonts w:hint="eastAsia" w:hAnsi="宋体"/>
          <w:color w:val="000000"/>
          <w:sz w:val="24"/>
        </w:rPr>
        <w:t>栋、证载面积共</w:t>
      </w:r>
      <w:r>
        <w:rPr>
          <w:rFonts w:hAnsi="宋体"/>
          <w:color w:val="000000"/>
          <w:sz w:val="24"/>
        </w:rPr>
        <w:t>31409</w:t>
      </w:r>
      <w:r>
        <w:rPr>
          <w:rFonts w:hint="eastAsia" w:hAnsi="宋体"/>
          <w:color w:val="000000"/>
          <w:sz w:val="24"/>
        </w:rPr>
        <w:t>㎡，无证建筑物共</w:t>
      </w:r>
      <w:r>
        <w:rPr>
          <w:rFonts w:hAnsi="宋体"/>
          <w:color w:val="000000"/>
          <w:sz w:val="24"/>
        </w:rPr>
        <w:t>3</w:t>
      </w:r>
      <w:r>
        <w:rPr>
          <w:rFonts w:hint="eastAsia" w:hAnsi="宋体"/>
          <w:color w:val="000000"/>
          <w:sz w:val="24"/>
        </w:rPr>
        <w:t>栋、测绘面积共</w:t>
      </w:r>
      <w:r>
        <w:rPr>
          <w:rFonts w:hAnsi="宋体"/>
          <w:color w:val="000000"/>
          <w:sz w:val="24"/>
        </w:rPr>
        <w:t>45.69</w:t>
      </w:r>
      <w:r>
        <w:rPr>
          <w:rFonts w:hint="eastAsia" w:hAnsi="宋体"/>
          <w:color w:val="000000"/>
          <w:sz w:val="24"/>
        </w:rPr>
        <w:t>㎡）。具体如下表：</w:t>
      </w:r>
    </w:p>
    <w:p>
      <w:pPr>
        <w:spacing w:line="480" w:lineRule="exact"/>
        <w:ind w:firstLine="453" w:firstLineChars="192"/>
        <w:jc w:val="center"/>
        <w:rPr>
          <w:snapToGrid w:val="0"/>
          <w:color w:val="000000"/>
          <w:spacing w:val="-2"/>
          <w:kern w:val="0"/>
          <w:sz w:val="24"/>
        </w:rPr>
      </w:pPr>
      <w:r>
        <w:rPr>
          <w:snapToGrid w:val="0"/>
          <w:color w:val="000000"/>
          <w:spacing w:val="-2"/>
          <w:kern w:val="0"/>
          <w:sz w:val="24"/>
        </w:rPr>
        <w:br w:type="page"/>
      </w:r>
      <w:r>
        <w:rPr>
          <w:rFonts w:hint="eastAsia"/>
          <w:snapToGrid w:val="0"/>
          <w:color w:val="000000"/>
          <w:spacing w:val="-2"/>
          <w:kern w:val="0"/>
          <w:sz w:val="24"/>
        </w:rPr>
        <w:t>估价范围明细表</w:t>
      </w:r>
    </w:p>
    <w:tbl>
      <w:tblPr>
        <w:tblStyle w:val="35"/>
        <w:tblW w:w="10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348"/>
        <w:gridCol w:w="1036"/>
        <w:gridCol w:w="1260"/>
        <w:gridCol w:w="1080"/>
        <w:gridCol w:w="1440"/>
        <w:gridCol w:w="1080"/>
        <w:gridCol w:w="1275"/>
        <w:gridCol w:w="1004"/>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dxa"/>
            <w:vAlign w:val="center"/>
          </w:tcPr>
          <w:p>
            <w:pPr>
              <w:spacing w:line="300" w:lineRule="exact"/>
              <w:jc w:val="center"/>
              <w:rPr>
                <w:color w:val="000000"/>
                <w:sz w:val="18"/>
                <w:szCs w:val="18"/>
              </w:rPr>
            </w:pPr>
            <w:r>
              <w:rPr>
                <w:rFonts w:hint="eastAsia"/>
                <w:color w:val="000000"/>
                <w:sz w:val="18"/>
                <w:szCs w:val="18"/>
              </w:rPr>
              <w:t>序号</w:t>
            </w:r>
          </w:p>
        </w:tc>
        <w:tc>
          <w:tcPr>
            <w:tcW w:w="1384" w:type="dxa"/>
            <w:gridSpan w:val="2"/>
            <w:vAlign w:val="center"/>
          </w:tcPr>
          <w:p>
            <w:pPr>
              <w:spacing w:line="300" w:lineRule="exact"/>
              <w:jc w:val="center"/>
              <w:rPr>
                <w:color w:val="000000"/>
                <w:sz w:val="18"/>
                <w:szCs w:val="18"/>
              </w:rPr>
            </w:pPr>
            <w:r>
              <w:rPr>
                <w:rFonts w:hint="eastAsia"/>
                <w:color w:val="000000"/>
                <w:sz w:val="18"/>
                <w:szCs w:val="18"/>
              </w:rPr>
              <w:t>名称</w:t>
            </w:r>
          </w:p>
        </w:tc>
        <w:tc>
          <w:tcPr>
            <w:tcW w:w="1260" w:type="dxa"/>
            <w:vAlign w:val="center"/>
          </w:tcPr>
          <w:p>
            <w:pPr>
              <w:spacing w:line="300" w:lineRule="exact"/>
              <w:jc w:val="center"/>
              <w:rPr>
                <w:color w:val="000000"/>
                <w:sz w:val="18"/>
                <w:szCs w:val="18"/>
              </w:rPr>
            </w:pPr>
            <w:r>
              <w:rPr>
                <w:rFonts w:hint="eastAsia"/>
                <w:color w:val="000000"/>
                <w:sz w:val="18"/>
                <w:szCs w:val="18"/>
              </w:rPr>
              <w:t>权证号</w:t>
            </w:r>
          </w:p>
        </w:tc>
        <w:tc>
          <w:tcPr>
            <w:tcW w:w="1080" w:type="dxa"/>
            <w:vAlign w:val="center"/>
          </w:tcPr>
          <w:p>
            <w:pPr>
              <w:spacing w:line="300" w:lineRule="exact"/>
              <w:jc w:val="center"/>
              <w:rPr>
                <w:color w:val="000000"/>
                <w:sz w:val="18"/>
                <w:szCs w:val="18"/>
              </w:rPr>
            </w:pPr>
            <w:r>
              <w:rPr>
                <w:rFonts w:hint="eastAsia"/>
                <w:color w:val="000000"/>
                <w:sz w:val="18"/>
                <w:szCs w:val="18"/>
              </w:rPr>
              <w:t>权利人</w:t>
            </w:r>
          </w:p>
        </w:tc>
        <w:tc>
          <w:tcPr>
            <w:tcW w:w="1440" w:type="dxa"/>
            <w:vAlign w:val="center"/>
          </w:tcPr>
          <w:p>
            <w:pPr>
              <w:spacing w:line="300" w:lineRule="exact"/>
              <w:jc w:val="center"/>
              <w:rPr>
                <w:color w:val="000000"/>
                <w:sz w:val="18"/>
                <w:szCs w:val="18"/>
              </w:rPr>
            </w:pPr>
            <w:r>
              <w:rPr>
                <w:rFonts w:hint="eastAsia"/>
                <w:color w:val="000000"/>
                <w:sz w:val="18"/>
                <w:szCs w:val="18"/>
              </w:rPr>
              <w:t>坐落</w:t>
            </w:r>
          </w:p>
        </w:tc>
        <w:tc>
          <w:tcPr>
            <w:tcW w:w="1080" w:type="dxa"/>
            <w:vAlign w:val="center"/>
          </w:tcPr>
          <w:p>
            <w:pPr>
              <w:spacing w:line="300" w:lineRule="exact"/>
              <w:jc w:val="center"/>
              <w:rPr>
                <w:color w:val="000000"/>
                <w:sz w:val="18"/>
                <w:szCs w:val="18"/>
              </w:rPr>
            </w:pPr>
            <w:r>
              <w:rPr>
                <w:rFonts w:hint="eastAsia"/>
                <w:color w:val="000000"/>
                <w:sz w:val="18"/>
                <w:szCs w:val="18"/>
              </w:rPr>
              <w:t>证载用途</w:t>
            </w:r>
            <w:r>
              <w:rPr>
                <w:color w:val="000000"/>
                <w:sz w:val="18"/>
                <w:szCs w:val="18"/>
              </w:rPr>
              <w:t>/</w:t>
            </w:r>
            <w:r>
              <w:rPr>
                <w:rFonts w:hint="eastAsia"/>
                <w:color w:val="000000"/>
                <w:sz w:val="18"/>
                <w:szCs w:val="18"/>
              </w:rPr>
              <w:t>实际用途</w:t>
            </w:r>
          </w:p>
        </w:tc>
        <w:tc>
          <w:tcPr>
            <w:tcW w:w="1275" w:type="dxa"/>
            <w:vAlign w:val="center"/>
          </w:tcPr>
          <w:p>
            <w:pPr>
              <w:spacing w:line="300" w:lineRule="exact"/>
              <w:jc w:val="center"/>
              <w:rPr>
                <w:color w:val="000000"/>
                <w:sz w:val="18"/>
                <w:szCs w:val="18"/>
              </w:rPr>
            </w:pPr>
            <w:r>
              <w:rPr>
                <w:rFonts w:hint="eastAsia"/>
                <w:color w:val="000000"/>
                <w:sz w:val="18"/>
                <w:szCs w:val="18"/>
              </w:rPr>
              <w:t>面积（㎡）</w:t>
            </w:r>
          </w:p>
        </w:tc>
        <w:tc>
          <w:tcPr>
            <w:tcW w:w="1004" w:type="dxa"/>
            <w:vAlign w:val="center"/>
          </w:tcPr>
          <w:p>
            <w:pPr>
              <w:spacing w:line="300" w:lineRule="exact"/>
              <w:jc w:val="center"/>
              <w:rPr>
                <w:color w:val="000000"/>
                <w:sz w:val="18"/>
                <w:szCs w:val="18"/>
              </w:rPr>
            </w:pPr>
            <w:r>
              <w:rPr>
                <w:rFonts w:hint="eastAsia"/>
                <w:color w:val="000000"/>
                <w:sz w:val="18"/>
                <w:szCs w:val="18"/>
              </w:rPr>
              <w:t>建筑物现场栋号</w:t>
            </w:r>
          </w:p>
        </w:tc>
        <w:tc>
          <w:tcPr>
            <w:tcW w:w="1156" w:type="dxa"/>
            <w:vAlign w:val="center"/>
          </w:tcPr>
          <w:p>
            <w:pPr>
              <w:spacing w:line="300" w:lineRule="exact"/>
              <w:jc w:val="center"/>
              <w:rPr>
                <w:color w:val="000000"/>
                <w:sz w:val="18"/>
                <w:szCs w:val="18"/>
              </w:rPr>
            </w:pPr>
            <w:r>
              <w:rPr>
                <w:rFonts w:hint="eastAsia"/>
                <w:color w:val="000000"/>
                <w:sz w:val="18"/>
                <w:szCs w:val="18"/>
              </w:rPr>
              <w:t>利用现状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Align w:val="center"/>
          </w:tcPr>
          <w:p>
            <w:pPr>
              <w:spacing w:line="300" w:lineRule="exact"/>
              <w:jc w:val="center"/>
              <w:rPr>
                <w:color w:val="000000"/>
                <w:sz w:val="18"/>
                <w:szCs w:val="18"/>
              </w:rPr>
            </w:pPr>
            <w:r>
              <w:rPr>
                <w:color w:val="000000"/>
                <w:sz w:val="18"/>
                <w:szCs w:val="18"/>
              </w:rPr>
              <w:t>1</w:t>
            </w:r>
          </w:p>
        </w:tc>
        <w:tc>
          <w:tcPr>
            <w:tcW w:w="1384" w:type="dxa"/>
            <w:gridSpan w:val="2"/>
            <w:vAlign w:val="center"/>
          </w:tcPr>
          <w:p>
            <w:pPr>
              <w:spacing w:line="300" w:lineRule="exact"/>
              <w:jc w:val="center"/>
              <w:rPr>
                <w:color w:val="000000"/>
                <w:sz w:val="18"/>
                <w:szCs w:val="18"/>
              </w:rPr>
            </w:pPr>
            <w:r>
              <w:rPr>
                <w:rFonts w:hint="eastAsia"/>
                <w:color w:val="000000"/>
                <w:sz w:val="18"/>
                <w:szCs w:val="18"/>
              </w:rPr>
              <w:t>土地使用权</w:t>
            </w:r>
          </w:p>
        </w:tc>
        <w:tc>
          <w:tcPr>
            <w:tcW w:w="1260" w:type="dxa"/>
            <w:vAlign w:val="center"/>
          </w:tcPr>
          <w:p>
            <w:pPr>
              <w:spacing w:line="300" w:lineRule="exact"/>
              <w:jc w:val="center"/>
              <w:rPr>
                <w:color w:val="000000"/>
                <w:sz w:val="18"/>
                <w:szCs w:val="18"/>
              </w:rPr>
            </w:pPr>
            <w:r>
              <w:rPr>
                <w:rFonts w:hint="eastAsia"/>
                <w:color w:val="000000"/>
                <w:sz w:val="18"/>
                <w:szCs w:val="18"/>
              </w:rPr>
              <w:t>成国用（</w:t>
            </w:r>
            <w:r>
              <w:rPr>
                <w:color w:val="000000"/>
                <w:sz w:val="18"/>
                <w:szCs w:val="18"/>
              </w:rPr>
              <w:t>2005</w:t>
            </w:r>
            <w:r>
              <w:rPr>
                <w:rFonts w:hint="eastAsia"/>
                <w:color w:val="000000"/>
                <w:sz w:val="18"/>
                <w:szCs w:val="18"/>
              </w:rPr>
              <w:t>）第</w:t>
            </w:r>
            <w:r>
              <w:rPr>
                <w:color w:val="000000"/>
                <w:sz w:val="18"/>
                <w:szCs w:val="18"/>
              </w:rPr>
              <w:t>866</w:t>
            </w:r>
            <w:r>
              <w:rPr>
                <w:rFonts w:hint="eastAsia"/>
                <w:color w:val="000000"/>
                <w:sz w:val="18"/>
                <w:szCs w:val="18"/>
              </w:rPr>
              <w:t>号《国有土地使用证》</w:t>
            </w:r>
          </w:p>
        </w:tc>
        <w:tc>
          <w:tcPr>
            <w:tcW w:w="1080" w:type="dxa"/>
            <w:vAlign w:val="center"/>
          </w:tcPr>
          <w:p>
            <w:pPr>
              <w:spacing w:line="300" w:lineRule="exact"/>
              <w:jc w:val="center"/>
              <w:rPr>
                <w:color w:val="000000"/>
                <w:sz w:val="18"/>
                <w:szCs w:val="18"/>
              </w:rPr>
            </w:pPr>
            <w:r>
              <w:rPr>
                <w:rFonts w:hint="eastAsia"/>
                <w:color w:val="000000"/>
                <w:sz w:val="18"/>
                <w:szCs w:val="18"/>
              </w:rPr>
              <w:t>成都中汇制药有限公司</w:t>
            </w:r>
          </w:p>
        </w:tc>
        <w:tc>
          <w:tcPr>
            <w:tcW w:w="1440" w:type="dxa"/>
            <w:vAlign w:val="center"/>
          </w:tcPr>
          <w:p>
            <w:pPr>
              <w:spacing w:line="300" w:lineRule="exact"/>
              <w:jc w:val="center"/>
              <w:rPr>
                <w:color w:val="000000"/>
                <w:sz w:val="18"/>
                <w:szCs w:val="18"/>
              </w:rPr>
            </w:pPr>
            <w:r>
              <w:rPr>
                <w:rFonts w:hint="eastAsia"/>
                <w:color w:val="000000"/>
                <w:sz w:val="18"/>
                <w:szCs w:val="18"/>
              </w:rPr>
              <w:t>金牛区金牛乡高家村</w:t>
            </w:r>
            <w:r>
              <w:rPr>
                <w:color w:val="000000"/>
                <w:sz w:val="18"/>
                <w:szCs w:val="18"/>
              </w:rPr>
              <w:t>7</w:t>
            </w:r>
            <w:r>
              <w:rPr>
                <w:rFonts w:hint="eastAsia"/>
                <w:color w:val="000000"/>
                <w:sz w:val="18"/>
                <w:szCs w:val="18"/>
              </w:rPr>
              <w:t>、</w:t>
            </w:r>
            <w:r>
              <w:rPr>
                <w:color w:val="000000"/>
                <w:sz w:val="18"/>
                <w:szCs w:val="18"/>
              </w:rPr>
              <w:t>8</w:t>
            </w:r>
            <w:r>
              <w:rPr>
                <w:rFonts w:hint="eastAsia"/>
                <w:color w:val="000000"/>
                <w:sz w:val="18"/>
                <w:szCs w:val="18"/>
              </w:rPr>
              <w:t>组（羊市街西沿线高家路段旁）</w:t>
            </w:r>
          </w:p>
        </w:tc>
        <w:tc>
          <w:tcPr>
            <w:tcW w:w="1080" w:type="dxa"/>
            <w:vAlign w:val="center"/>
          </w:tcPr>
          <w:p>
            <w:pPr>
              <w:spacing w:line="300" w:lineRule="exact"/>
              <w:jc w:val="center"/>
              <w:rPr>
                <w:color w:val="000000"/>
                <w:sz w:val="18"/>
                <w:szCs w:val="18"/>
              </w:rPr>
            </w:pPr>
            <w:r>
              <w:rPr>
                <w:rFonts w:hint="eastAsia"/>
                <w:color w:val="000000"/>
                <w:sz w:val="18"/>
                <w:szCs w:val="18"/>
              </w:rPr>
              <w:t>工业</w:t>
            </w:r>
          </w:p>
        </w:tc>
        <w:tc>
          <w:tcPr>
            <w:tcW w:w="1275" w:type="dxa"/>
            <w:vAlign w:val="center"/>
          </w:tcPr>
          <w:p>
            <w:pPr>
              <w:spacing w:line="300" w:lineRule="exact"/>
              <w:jc w:val="center"/>
              <w:rPr>
                <w:color w:val="000000"/>
                <w:sz w:val="18"/>
                <w:szCs w:val="18"/>
              </w:rPr>
            </w:pPr>
            <w:r>
              <w:rPr>
                <w:color w:val="000000"/>
                <w:sz w:val="18"/>
                <w:szCs w:val="18"/>
              </w:rPr>
              <w:t>21564.79</w:t>
            </w:r>
          </w:p>
        </w:tc>
        <w:tc>
          <w:tcPr>
            <w:tcW w:w="1004" w:type="dxa"/>
            <w:vAlign w:val="center"/>
          </w:tcPr>
          <w:p>
            <w:pPr>
              <w:spacing w:line="300" w:lineRule="exact"/>
              <w:jc w:val="center"/>
              <w:rPr>
                <w:color w:val="000000"/>
                <w:sz w:val="18"/>
                <w:szCs w:val="18"/>
              </w:rPr>
            </w:pPr>
            <w:r>
              <w:rPr>
                <w:color w:val="000000"/>
                <w:sz w:val="18"/>
                <w:szCs w:val="18"/>
              </w:rPr>
              <w:t>/</w:t>
            </w:r>
          </w:p>
        </w:tc>
        <w:tc>
          <w:tcPr>
            <w:tcW w:w="1156" w:type="dxa"/>
            <w:vMerge w:val="restart"/>
            <w:vAlign w:val="center"/>
          </w:tcPr>
          <w:p>
            <w:pPr>
              <w:spacing w:line="300" w:lineRule="exact"/>
              <w:jc w:val="center"/>
              <w:rPr>
                <w:color w:val="000000"/>
                <w:sz w:val="18"/>
                <w:szCs w:val="18"/>
              </w:rPr>
            </w:pPr>
            <w:r>
              <w:rPr>
                <w:rFonts w:hint="eastAsia"/>
                <w:color w:val="000000"/>
                <w:sz w:val="18"/>
                <w:szCs w:val="18"/>
              </w:rPr>
              <w:t>本估价范围与位于北侧的</w:t>
            </w:r>
            <w:r>
              <w:rPr>
                <w:rFonts w:hint="eastAsia" w:hAnsi="宋体"/>
                <w:color w:val="000000"/>
                <w:sz w:val="18"/>
                <w:szCs w:val="18"/>
              </w:rPr>
              <w:t>成国用（</w:t>
            </w:r>
            <w:r>
              <w:rPr>
                <w:rFonts w:hAnsi="宋体"/>
                <w:color w:val="000000"/>
                <w:sz w:val="18"/>
                <w:szCs w:val="18"/>
              </w:rPr>
              <w:t>2007</w:t>
            </w:r>
            <w:r>
              <w:rPr>
                <w:rFonts w:hint="eastAsia" w:hAnsi="宋体"/>
                <w:color w:val="000000"/>
                <w:sz w:val="18"/>
                <w:szCs w:val="18"/>
              </w:rPr>
              <w:t>）第</w:t>
            </w:r>
            <w:r>
              <w:rPr>
                <w:rFonts w:hAnsi="宋体"/>
                <w:color w:val="000000"/>
                <w:sz w:val="18"/>
                <w:szCs w:val="18"/>
              </w:rPr>
              <w:t>895</w:t>
            </w:r>
            <w:r>
              <w:rPr>
                <w:rFonts w:hint="eastAsia" w:hAnsi="宋体"/>
                <w:color w:val="000000"/>
                <w:sz w:val="18"/>
                <w:szCs w:val="18"/>
              </w:rPr>
              <w:t>号项下</w:t>
            </w:r>
            <w:r>
              <w:rPr>
                <w:color w:val="000000"/>
                <w:sz w:val="18"/>
                <w:szCs w:val="18"/>
              </w:rPr>
              <w:t>52</w:t>
            </w:r>
            <w:r>
              <w:rPr>
                <w:rFonts w:hint="eastAsia"/>
                <w:color w:val="000000"/>
                <w:sz w:val="18"/>
                <w:szCs w:val="18"/>
              </w:rPr>
              <w:t>亩土地直接相邻，两宗地无明显分隔界线，整体正常用于“广和都市工业总部”和“广和汽车孵化园”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Merge w:val="restart"/>
            <w:vAlign w:val="center"/>
          </w:tcPr>
          <w:p>
            <w:pPr>
              <w:spacing w:line="300" w:lineRule="exact"/>
              <w:jc w:val="center"/>
              <w:rPr>
                <w:color w:val="000000"/>
                <w:sz w:val="18"/>
                <w:szCs w:val="18"/>
              </w:rPr>
            </w:pPr>
            <w:r>
              <w:rPr>
                <w:color w:val="000000"/>
                <w:sz w:val="18"/>
                <w:szCs w:val="18"/>
              </w:rPr>
              <w:t>2</w:t>
            </w:r>
          </w:p>
        </w:tc>
        <w:tc>
          <w:tcPr>
            <w:tcW w:w="348" w:type="dxa"/>
            <w:vMerge w:val="restart"/>
            <w:vAlign w:val="center"/>
          </w:tcPr>
          <w:p>
            <w:pPr>
              <w:spacing w:line="300" w:lineRule="exact"/>
              <w:jc w:val="center"/>
              <w:rPr>
                <w:color w:val="000000"/>
                <w:sz w:val="18"/>
                <w:szCs w:val="18"/>
              </w:rPr>
            </w:pPr>
            <w:r>
              <w:rPr>
                <w:rFonts w:hint="eastAsia"/>
                <w:color w:val="000000"/>
                <w:sz w:val="18"/>
                <w:szCs w:val="18"/>
              </w:rPr>
              <w:t>建筑物</w:t>
            </w:r>
          </w:p>
        </w:tc>
        <w:tc>
          <w:tcPr>
            <w:tcW w:w="1036" w:type="dxa"/>
            <w:vAlign w:val="center"/>
          </w:tcPr>
          <w:p>
            <w:pPr>
              <w:spacing w:line="300" w:lineRule="exact"/>
              <w:jc w:val="center"/>
              <w:rPr>
                <w:color w:val="000000"/>
                <w:sz w:val="18"/>
                <w:szCs w:val="18"/>
              </w:rPr>
            </w:pPr>
            <w:r>
              <w:rPr>
                <w:color w:val="000000"/>
                <w:sz w:val="18"/>
                <w:szCs w:val="18"/>
              </w:rPr>
              <w:t>2</w:t>
            </w:r>
            <w:r>
              <w:rPr>
                <w:rFonts w:hint="eastAsia"/>
                <w:color w:val="000000"/>
                <w:sz w:val="18"/>
                <w:szCs w:val="18"/>
              </w:rPr>
              <w:t>栋</w:t>
            </w:r>
            <w:r>
              <w:rPr>
                <w:color w:val="000000"/>
                <w:sz w:val="18"/>
                <w:szCs w:val="18"/>
              </w:rPr>
              <w:t>1-2</w:t>
            </w:r>
            <w:r>
              <w:rPr>
                <w:rFonts w:hint="eastAsia"/>
                <w:color w:val="000000"/>
                <w:sz w:val="18"/>
                <w:szCs w:val="18"/>
              </w:rPr>
              <w:t>层</w:t>
            </w:r>
          </w:p>
        </w:tc>
        <w:tc>
          <w:tcPr>
            <w:tcW w:w="1260" w:type="dxa"/>
            <w:vAlign w:val="center"/>
          </w:tcPr>
          <w:p>
            <w:pPr>
              <w:spacing w:line="300" w:lineRule="exact"/>
              <w:jc w:val="center"/>
              <w:rPr>
                <w:color w:val="000000"/>
                <w:sz w:val="18"/>
                <w:szCs w:val="18"/>
              </w:rPr>
            </w:pPr>
            <w:r>
              <w:rPr>
                <w:rFonts w:hint="eastAsia"/>
                <w:color w:val="000000"/>
                <w:sz w:val="18"/>
                <w:szCs w:val="18"/>
              </w:rPr>
              <w:t>成房权证监证字第</w:t>
            </w:r>
            <w:r>
              <w:rPr>
                <w:color w:val="000000"/>
                <w:sz w:val="18"/>
                <w:szCs w:val="18"/>
              </w:rPr>
              <w:t>2069860</w:t>
            </w:r>
            <w:r>
              <w:rPr>
                <w:rFonts w:hint="eastAsia"/>
                <w:color w:val="000000"/>
                <w:sz w:val="18"/>
                <w:szCs w:val="18"/>
              </w:rPr>
              <w:t>号</w:t>
            </w:r>
          </w:p>
        </w:tc>
        <w:tc>
          <w:tcPr>
            <w:tcW w:w="1080" w:type="dxa"/>
            <w:vAlign w:val="center"/>
          </w:tcPr>
          <w:p>
            <w:pPr>
              <w:spacing w:line="300" w:lineRule="exact"/>
              <w:jc w:val="center"/>
              <w:rPr>
                <w:color w:val="000000"/>
                <w:sz w:val="18"/>
                <w:szCs w:val="18"/>
              </w:rPr>
            </w:pPr>
            <w:r>
              <w:rPr>
                <w:rFonts w:hint="eastAsia"/>
                <w:color w:val="000000"/>
                <w:sz w:val="18"/>
                <w:szCs w:val="18"/>
              </w:rPr>
              <w:t>成都中汇制药有限公司</w:t>
            </w:r>
          </w:p>
        </w:tc>
        <w:tc>
          <w:tcPr>
            <w:tcW w:w="1440" w:type="dxa"/>
            <w:vAlign w:val="center"/>
          </w:tcPr>
          <w:p>
            <w:pPr>
              <w:spacing w:line="300" w:lineRule="exact"/>
              <w:jc w:val="center"/>
              <w:rPr>
                <w:color w:val="000000"/>
                <w:sz w:val="18"/>
                <w:szCs w:val="18"/>
              </w:rPr>
            </w:pPr>
            <w:r>
              <w:rPr>
                <w:rFonts w:hint="eastAsia"/>
                <w:color w:val="000000"/>
                <w:sz w:val="18"/>
                <w:szCs w:val="18"/>
              </w:rPr>
              <w:t>金牛区蜀西路</w:t>
            </w:r>
            <w:r>
              <w:rPr>
                <w:color w:val="000000"/>
                <w:sz w:val="18"/>
                <w:szCs w:val="18"/>
              </w:rPr>
              <w:t>30</w:t>
            </w:r>
            <w:r>
              <w:rPr>
                <w:rFonts w:hint="eastAsia"/>
                <w:color w:val="000000"/>
                <w:sz w:val="18"/>
                <w:szCs w:val="18"/>
              </w:rPr>
              <w:t>号</w:t>
            </w:r>
            <w:r>
              <w:rPr>
                <w:color w:val="000000"/>
                <w:sz w:val="18"/>
                <w:szCs w:val="18"/>
              </w:rPr>
              <w:t>2</w:t>
            </w:r>
            <w:r>
              <w:rPr>
                <w:rFonts w:hint="eastAsia"/>
                <w:color w:val="000000"/>
                <w:sz w:val="18"/>
                <w:szCs w:val="18"/>
              </w:rPr>
              <w:t>栋</w:t>
            </w:r>
            <w:r>
              <w:rPr>
                <w:color w:val="000000"/>
                <w:sz w:val="18"/>
                <w:szCs w:val="18"/>
              </w:rPr>
              <w:t>1-2</w:t>
            </w:r>
            <w:r>
              <w:rPr>
                <w:rFonts w:hint="eastAsia"/>
                <w:color w:val="000000"/>
                <w:sz w:val="18"/>
                <w:szCs w:val="18"/>
              </w:rPr>
              <w:t>层</w:t>
            </w:r>
          </w:p>
        </w:tc>
        <w:tc>
          <w:tcPr>
            <w:tcW w:w="1080" w:type="dxa"/>
            <w:vAlign w:val="center"/>
          </w:tcPr>
          <w:p>
            <w:pPr>
              <w:spacing w:line="300" w:lineRule="exact"/>
              <w:jc w:val="center"/>
              <w:rPr>
                <w:color w:val="000000"/>
                <w:sz w:val="18"/>
                <w:szCs w:val="18"/>
              </w:rPr>
            </w:pPr>
            <w:r>
              <w:rPr>
                <w:rFonts w:hint="eastAsia"/>
                <w:color w:val="000000"/>
                <w:sz w:val="18"/>
                <w:szCs w:val="18"/>
              </w:rPr>
              <w:t>工厂</w:t>
            </w:r>
            <w:r>
              <w:rPr>
                <w:color w:val="000000"/>
                <w:sz w:val="18"/>
                <w:szCs w:val="18"/>
              </w:rPr>
              <w:t>/1</w:t>
            </w:r>
            <w:r>
              <w:rPr>
                <w:rFonts w:hint="eastAsia"/>
                <w:color w:val="000000"/>
                <w:sz w:val="18"/>
                <w:szCs w:val="18"/>
              </w:rPr>
              <w:t>层：汽车展厅、</w:t>
            </w:r>
            <w:r>
              <w:rPr>
                <w:color w:val="000000"/>
                <w:sz w:val="18"/>
                <w:szCs w:val="18"/>
              </w:rPr>
              <w:t>2</w:t>
            </w:r>
            <w:r>
              <w:rPr>
                <w:rFonts w:hint="eastAsia"/>
                <w:color w:val="000000"/>
                <w:sz w:val="18"/>
                <w:szCs w:val="18"/>
              </w:rPr>
              <w:t>层：空置</w:t>
            </w:r>
          </w:p>
        </w:tc>
        <w:tc>
          <w:tcPr>
            <w:tcW w:w="1275" w:type="dxa"/>
            <w:vAlign w:val="center"/>
          </w:tcPr>
          <w:p>
            <w:pPr>
              <w:spacing w:line="300" w:lineRule="exact"/>
              <w:jc w:val="center"/>
              <w:rPr>
                <w:color w:val="000000"/>
                <w:sz w:val="18"/>
                <w:szCs w:val="18"/>
              </w:rPr>
            </w:pPr>
            <w:r>
              <w:rPr>
                <w:color w:val="000000"/>
                <w:sz w:val="18"/>
                <w:szCs w:val="18"/>
              </w:rPr>
              <w:t>15876</w:t>
            </w:r>
          </w:p>
        </w:tc>
        <w:tc>
          <w:tcPr>
            <w:tcW w:w="1004" w:type="dxa"/>
            <w:vMerge w:val="restart"/>
            <w:vAlign w:val="center"/>
          </w:tcPr>
          <w:p>
            <w:pPr>
              <w:spacing w:line="300" w:lineRule="exact"/>
              <w:jc w:val="center"/>
              <w:rPr>
                <w:color w:val="000000"/>
                <w:sz w:val="18"/>
                <w:szCs w:val="18"/>
              </w:rPr>
            </w:pPr>
            <w:r>
              <w:rPr>
                <w:color w:val="000000"/>
                <w:sz w:val="18"/>
                <w:szCs w:val="18"/>
              </w:rPr>
              <w:t>2</w:t>
            </w:r>
          </w:p>
        </w:tc>
        <w:tc>
          <w:tcPr>
            <w:tcW w:w="1156" w:type="dxa"/>
            <w:vMerge w:val="continue"/>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Merge w:val="continue"/>
            <w:vAlign w:val="center"/>
          </w:tcPr>
          <w:p>
            <w:pPr>
              <w:spacing w:line="300" w:lineRule="exact"/>
              <w:jc w:val="center"/>
              <w:rPr>
                <w:color w:val="000000"/>
                <w:sz w:val="18"/>
                <w:szCs w:val="18"/>
              </w:rPr>
            </w:pPr>
          </w:p>
        </w:tc>
        <w:tc>
          <w:tcPr>
            <w:tcW w:w="348" w:type="dxa"/>
            <w:vMerge w:val="continue"/>
            <w:vAlign w:val="center"/>
          </w:tcPr>
          <w:p>
            <w:pPr>
              <w:spacing w:line="300" w:lineRule="exact"/>
              <w:jc w:val="center"/>
              <w:rPr>
                <w:color w:val="000000"/>
                <w:sz w:val="18"/>
                <w:szCs w:val="18"/>
              </w:rPr>
            </w:pPr>
          </w:p>
        </w:tc>
        <w:tc>
          <w:tcPr>
            <w:tcW w:w="1036" w:type="dxa"/>
            <w:vAlign w:val="center"/>
          </w:tcPr>
          <w:p>
            <w:pPr>
              <w:spacing w:line="300" w:lineRule="exact"/>
              <w:jc w:val="center"/>
              <w:rPr>
                <w:color w:val="000000"/>
                <w:sz w:val="18"/>
                <w:szCs w:val="18"/>
              </w:rPr>
            </w:pPr>
            <w:r>
              <w:rPr>
                <w:color w:val="000000"/>
                <w:sz w:val="18"/>
                <w:szCs w:val="18"/>
              </w:rPr>
              <w:t>2</w:t>
            </w:r>
            <w:r>
              <w:rPr>
                <w:rFonts w:hint="eastAsia"/>
                <w:color w:val="000000"/>
                <w:sz w:val="18"/>
                <w:szCs w:val="18"/>
              </w:rPr>
              <w:t>栋</w:t>
            </w:r>
            <w:r>
              <w:rPr>
                <w:color w:val="000000"/>
                <w:sz w:val="18"/>
                <w:szCs w:val="18"/>
              </w:rPr>
              <w:t>3</w:t>
            </w:r>
            <w:r>
              <w:rPr>
                <w:rFonts w:hint="eastAsia"/>
                <w:color w:val="000000"/>
                <w:sz w:val="18"/>
                <w:szCs w:val="18"/>
              </w:rPr>
              <w:t>层</w:t>
            </w:r>
          </w:p>
        </w:tc>
        <w:tc>
          <w:tcPr>
            <w:tcW w:w="1260" w:type="dxa"/>
            <w:vAlign w:val="center"/>
          </w:tcPr>
          <w:p>
            <w:pPr>
              <w:spacing w:line="300" w:lineRule="exact"/>
              <w:jc w:val="center"/>
              <w:rPr>
                <w:color w:val="000000"/>
                <w:sz w:val="18"/>
                <w:szCs w:val="18"/>
              </w:rPr>
            </w:pPr>
            <w:r>
              <w:rPr>
                <w:rFonts w:hint="eastAsia"/>
                <w:color w:val="000000"/>
                <w:sz w:val="18"/>
                <w:szCs w:val="18"/>
              </w:rPr>
              <w:t>成房权证监证字第</w:t>
            </w:r>
            <w:r>
              <w:rPr>
                <w:color w:val="000000"/>
                <w:sz w:val="18"/>
                <w:szCs w:val="18"/>
              </w:rPr>
              <w:t>2069857</w:t>
            </w:r>
            <w:r>
              <w:rPr>
                <w:rFonts w:hint="eastAsia"/>
                <w:color w:val="000000"/>
                <w:sz w:val="18"/>
                <w:szCs w:val="18"/>
              </w:rPr>
              <w:t>号</w:t>
            </w:r>
          </w:p>
        </w:tc>
        <w:tc>
          <w:tcPr>
            <w:tcW w:w="1080" w:type="dxa"/>
            <w:vAlign w:val="center"/>
          </w:tcPr>
          <w:p>
            <w:pPr>
              <w:spacing w:line="300" w:lineRule="exact"/>
              <w:jc w:val="center"/>
              <w:rPr>
                <w:color w:val="000000"/>
                <w:sz w:val="18"/>
                <w:szCs w:val="18"/>
              </w:rPr>
            </w:pPr>
            <w:r>
              <w:rPr>
                <w:rFonts w:hint="eastAsia"/>
                <w:color w:val="000000"/>
                <w:sz w:val="18"/>
                <w:szCs w:val="18"/>
              </w:rPr>
              <w:t>成都中汇制药有限公司</w:t>
            </w:r>
          </w:p>
        </w:tc>
        <w:tc>
          <w:tcPr>
            <w:tcW w:w="1440" w:type="dxa"/>
            <w:vAlign w:val="center"/>
          </w:tcPr>
          <w:p>
            <w:pPr>
              <w:spacing w:line="300" w:lineRule="exact"/>
              <w:jc w:val="center"/>
              <w:rPr>
                <w:color w:val="000000"/>
                <w:sz w:val="18"/>
                <w:szCs w:val="18"/>
              </w:rPr>
            </w:pPr>
            <w:r>
              <w:rPr>
                <w:rFonts w:hint="eastAsia"/>
                <w:color w:val="000000"/>
                <w:sz w:val="18"/>
                <w:szCs w:val="18"/>
              </w:rPr>
              <w:t>金牛区蜀西路</w:t>
            </w:r>
            <w:r>
              <w:rPr>
                <w:color w:val="000000"/>
                <w:sz w:val="18"/>
                <w:szCs w:val="18"/>
              </w:rPr>
              <w:t>30</w:t>
            </w:r>
            <w:r>
              <w:rPr>
                <w:rFonts w:hint="eastAsia"/>
                <w:color w:val="000000"/>
                <w:sz w:val="18"/>
                <w:szCs w:val="18"/>
              </w:rPr>
              <w:t>号</w:t>
            </w:r>
            <w:r>
              <w:rPr>
                <w:color w:val="000000"/>
                <w:sz w:val="18"/>
                <w:szCs w:val="18"/>
              </w:rPr>
              <w:t>2</w:t>
            </w:r>
            <w:r>
              <w:rPr>
                <w:rFonts w:hint="eastAsia"/>
                <w:color w:val="000000"/>
                <w:sz w:val="18"/>
                <w:szCs w:val="18"/>
              </w:rPr>
              <w:t>栋</w:t>
            </w:r>
            <w:r>
              <w:rPr>
                <w:color w:val="000000"/>
                <w:sz w:val="18"/>
                <w:szCs w:val="18"/>
              </w:rPr>
              <w:t>3</w:t>
            </w:r>
            <w:r>
              <w:rPr>
                <w:rFonts w:hint="eastAsia"/>
                <w:color w:val="000000"/>
                <w:sz w:val="18"/>
                <w:szCs w:val="18"/>
              </w:rPr>
              <w:t>层</w:t>
            </w:r>
          </w:p>
        </w:tc>
        <w:tc>
          <w:tcPr>
            <w:tcW w:w="1080" w:type="dxa"/>
            <w:vAlign w:val="center"/>
          </w:tcPr>
          <w:p>
            <w:pPr>
              <w:spacing w:line="300" w:lineRule="exact"/>
              <w:jc w:val="center"/>
              <w:rPr>
                <w:color w:val="000000"/>
                <w:sz w:val="18"/>
                <w:szCs w:val="18"/>
              </w:rPr>
            </w:pPr>
            <w:r>
              <w:rPr>
                <w:rFonts w:hint="eastAsia"/>
                <w:color w:val="000000"/>
                <w:sz w:val="18"/>
                <w:szCs w:val="18"/>
              </w:rPr>
              <w:t>工厂</w:t>
            </w:r>
            <w:r>
              <w:rPr>
                <w:color w:val="000000"/>
                <w:sz w:val="18"/>
                <w:szCs w:val="18"/>
              </w:rPr>
              <w:t>/</w:t>
            </w:r>
            <w:r>
              <w:rPr>
                <w:rFonts w:hint="eastAsia"/>
                <w:color w:val="000000"/>
                <w:sz w:val="18"/>
                <w:szCs w:val="18"/>
              </w:rPr>
              <w:t>办公</w:t>
            </w:r>
          </w:p>
        </w:tc>
        <w:tc>
          <w:tcPr>
            <w:tcW w:w="1275" w:type="dxa"/>
            <w:vAlign w:val="center"/>
          </w:tcPr>
          <w:p>
            <w:pPr>
              <w:spacing w:line="300" w:lineRule="exact"/>
              <w:jc w:val="center"/>
              <w:rPr>
                <w:color w:val="000000"/>
                <w:sz w:val="18"/>
                <w:szCs w:val="18"/>
              </w:rPr>
            </w:pPr>
            <w:r>
              <w:rPr>
                <w:color w:val="000000"/>
                <w:sz w:val="18"/>
                <w:szCs w:val="18"/>
              </w:rPr>
              <w:t>7863</w:t>
            </w:r>
          </w:p>
        </w:tc>
        <w:tc>
          <w:tcPr>
            <w:tcW w:w="1004" w:type="dxa"/>
            <w:vMerge w:val="continue"/>
            <w:vAlign w:val="center"/>
          </w:tcPr>
          <w:p>
            <w:pPr>
              <w:spacing w:line="300" w:lineRule="exact"/>
              <w:jc w:val="center"/>
              <w:rPr>
                <w:color w:val="000000"/>
                <w:sz w:val="18"/>
                <w:szCs w:val="18"/>
              </w:rPr>
            </w:pPr>
          </w:p>
        </w:tc>
        <w:tc>
          <w:tcPr>
            <w:tcW w:w="1156" w:type="dxa"/>
            <w:vMerge w:val="continue"/>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Merge w:val="restart"/>
            <w:vAlign w:val="center"/>
          </w:tcPr>
          <w:p>
            <w:pPr>
              <w:spacing w:line="300" w:lineRule="exact"/>
              <w:jc w:val="center"/>
              <w:rPr>
                <w:color w:val="000000"/>
                <w:sz w:val="18"/>
                <w:szCs w:val="18"/>
              </w:rPr>
            </w:pPr>
            <w:r>
              <w:rPr>
                <w:color w:val="000000"/>
                <w:sz w:val="18"/>
                <w:szCs w:val="18"/>
              </w:rPr>
              <w:t>3</w:t>
            </w:r>
          </w:p>
        </w:tc>
        <w:tc>
          <w:tcPr>
            <w:tcW w:w="348" w:type="dxa"/>
            <w:vMerge w:val="continue"/>
            <w:vAlign w:val="center"/>
          </w:tcPr>
          <w:p>
            <w:pPr>
              <w:spacing w:line="300" w:lineRule="exact"/>
              <w:jc w:val="center"/>
              <w:rPr>
                <w:color w:val="000000"/>
                <w:sz w:val="18"/>
                <w:szCs w:val="18"/>
              </w:rPr>
            </w:pPr>
          </w:p>
        </w:tc>
        <w:tc>
          <w:tcPr>
            <w:tcW w:w="1036" w:type="dxa"/>
            <w:vAlign w:val="center"/>
          </w:tcPr>
          <w:p>
            <w:pPr>
              <w:spacing w:line="300" w:lineRule="exact"/>
              <w:jc w:val="center"/>
              <w:rPr>
                <w:color w:val="000000"/>
                <w:sz w:val="18"/>
                <w:szCs w:val="18"/>
              </w:rPr>
            </w:pPr>
            <w:r>
              <w:rPr>
                <w:color w:val="000000"/>
                <w:sz w:val="18"/>
                <w:szCs w:val="18"/>
              </w:rPr>
              <w:t>1</w:t>
            </w:r>
            <w:r>
              <w:rPr>
                <w:rFonts w:hint="eastAsia"/>
                <w:color w:val="000000"/>
                <w:sz w:val="18"/>
                <w:szCs w:val="18"/>
              </w:rPr>
              <w:t>栋</w:t>
            </w:r>
            <w:r>
              <w:rPr>
                <w:color w:val="000000"/>
                <w:sz w:val="18"/>
                <w:szCs w:val="18"/>
              </w:rPr>
              <w:t>1-6</w:t>
            </w:r>
            <w:r>
              <w:rPr>
                <w:rFonts w:hint="eastAsia"/>
                <w:color w:val="000000"/>
                <w:sz w:val="18"/>
                <w:szCs w:val="18"/>
              </w:rPr>
              <w:t>层</w:t>
            </w:r>
          </w:p>
        </w:tc>
        <w:tc>
          <w:tcPr>
            <w:tcW w:w="1260" w:type="dxa"/>
            <w:vMerge w:val="restart"/>
            <w:vAlign w:val="center"/>
          </w:tcPr>
          <w:p>
            <w:pPr>
              <w:spacing w:line="300" w:lineRule="exact"/>
              <w:jc w:val="center"/>
              <w:rPr>
                <w:color w:val="000000"/>
                <w:sz w:val="18"/>
                <w:szCs w:val="18"/>
              </w:rPr>
            </w:pPr>
            <w:r>
              <w:rPr>
                <w:rFonts w:hint="eastAsia"/>
                <w:color w:val="000000"/>
                <w:sz w:val="18"/>
                <w:szCs w:val="18"/>
              </w:rPr>
              <w:t>蓉房权证成房监证字第</w:t>
            </w:r>
            <w:r>
              <w:rPr>
                <w:color w:val="000000"/>
                <w:sz w:val="18"/>
                <w:szCs w:val="18"/>
              </w:rPr>
              <w:t>0998455</w:t>
            </w:r>
            <w:r>
              <w:rPr>
                <w:rFonts w:hint="eastAsia"/>
                <w:color w:val="000000"/>
                <w:sz w:val="18"/>
                <w:szCs w:val="18"/>
              </w:rPr>
              <w:t>号</w:t>
            </w:r>
          </w:p>
        </w:tc>
        <w:tc>
          <w:tcPr>
            <w:tcW w:w="1080" w:type="dxa"/>
            <w:vMerge w:val="restart"/>
            <w:vAlign w:val="center"/>
          </w:tcPr>
          <w:p>
            <w:pPr>
              <w:spacing w:line="300" w:lineRule="exact"/>
              <w:jc w:val="center"/>
              <w:rPr>
                <w:color w:val="000000"/>
                <w:sz w:val="18"/>
                <w:szCs w:val="18"/>
              </w:rPr>
            </w:pPr>
            <w:r>
              <w:rPr>
                <w:rFonts w:hint="eastAsia"/>
                <w:color w:val="000000"/>
                <w:sz w:val="18"/>
                <w:szCs w:val="18"/>
              </w:rPr>
              <w:t>成都中汇制药有限公司</w:t>
            </w:r>
          </w:p>
        </w:tc>
        <w:tc>
          <w:tcPr>
            <w:tcW w:w="1440" w:type="dxa"/>
            <w:vAlign w:val="center"/>
          </w:tcPr>
          <w:p>
            <w:pPr>
              <w:spacing w:line="300" w:lineRule="exact"/>
              <w:jc w:val="center"/>
              <w:rPr>
                <w:color w:val="000000"/>
                <w:sz w:val="18"/>
                <w:szCs w:val="18"/>
              </w:rPr>
            </w:pPr>
            <w:r>
              <w:rPr>
                <w:rFonts w:hint="eastAsia"/>
                <w:color w:val="000000"/>
                <w:sz w:val="18"/>
                <w:szCs w:val="18"/>
              </w:rPr>
              <w:t>金牛区蜀西路</w:t>
            </w:r>
            <w:r>
              <w:rPr>
                <w:color w:val="000000"/>
                <w:sz w:val="18"/>
                <w:szCs w:val="18"/>
              </w:rPr>
              <w:t>30</w:t>
            </w:r>
            <w:r>
              <w:rPr>
                <w:rFonts w:hint="eastAsia"/>
                <w:color w:val="000000"/>
                <w:sz w:val="18"/>
                <w:szCs w:val="18"/>
              </w:rPr>
              <w:t>号</w:t>
            </w:r>
            <w:r>
              <w:rPr>
                <w:color w:val="000000"/>
                <w:sz w:val="18"/>
                <w:szCs w:val="18"/>
              </w:rPr>
              <w:t>1</w:t>
            </w:r>
            <w:r>
              <w:rPr>
                <w:rFonts w:hint="eastAsia"/>
                <w:color w:val="000000"/>
                <w:sz w:val="18"/>
                <w:szCs w:val="18"/>
              </w:rPr>
              <w:t>栋</w:t>
            </w:r>
            <w:r>
              <w:rPr>
                <w:color w:val="000000"/>
                <w:sz w:val="18"/>
                <w:szCs w:val="18"/>
              </w:rPr>
              <w:t>1-6</w:t>
            </w:r>
            <w:r>
              <w:rPr>
                <w:rFonts w:hint="eastAsia"/>
                <w:color w:val="000000"/>
                <w:sz w:val="18"/>
                <w:szCs w:val="18"/>
              </w:rPr>
              <w:t>层</w:t>
            </w:r>
          </w:p>
        </w:tc>
        <w:tc>
          <w:tcPr>
            <w:tcW w:w="1080" w:type="dxa"/>
            <w:vAlign w:val="center"/>
          </w:tcPr>
          <w:p>
            <w:pPr>
              <w:spacing w:line="300" w:lineRule="exact"/>
              <w:jc w:val="center"/>
              <w:rPr>
                <w:color w:val="000000"/>
                <w:sz w:val="18"/>
                <w:szCs w:val="18"/>
              </w:rPr>
            </w:pPr>
            <w:r>
              <w:rPr>
                <w:rFonts w:hint="eastAsia"/>
                <w:color w:val="000000"/>
                <w:sz w:val="18"/>
                <w:szCs w:val="18"/>
              </w:rPr>
              <w:t>办公</w:t>
            </w:r>
            <w:r>
              <w:rPr>
                <w:color w:val="000000"/>
                <w:sz w:val="18"/>
                <w:szCs w:val="18"/>
              </w:rPr>
              <w:t>/</w:t>
            </w:r>
            <w:r>
              <w:rPr>
                <w:rFonts w:hint="eastAsia"/>
                <w:color w:val="000000"/>
                <w:sz w:val="18"/>
                <w:szCs w:val="18"/>
              </w:rPr>
              <w:t>办公</w:t>
            </w:r>
          </w:p>
        </w:tc>
        <w:tc>
          <w:tcPr>
            <w:tcW w:w="1275" w:type="dxa"/>
            <w:vAlign w:val="center"/>
          </w:tcPr>
          <w:p>
            <w:pPr>
              <w:spacing w:line="300" w:lineRule="exact"/>
              <w:jc w:val="center"/>
              <w:rPr>
                <w:color w:val="000000"/>
                <w:sz w:val="18"/>
                <w:szCs w:val="18"/>
              </w:rPr>
            </w:pPr>
            <w:r>
              <w:rPr>
                <w:color w:val="000000"/>
                <w:sz w:val="18"/>
                <w:szCs w:val="18"/>
              </w:rPr>
              <w:t>3451.00</w:t>
            </w:r>
          </w:p>
        </w:tc>
        <w:tc>
          <w:tcPr>
            <w:tcW w:w="1004" w:type="dxa"/>
            <w:vMerge w:val="restart"/>
            <w:vAlign w:val="center"/>
          </w:tcPr>
          <w:p>
            <w:pPr>
              <w:spacing w:line="300" w:lineRule="exact"/>
              <w:jc w:val="center"/>
              <w:rPr>
                <w:color w:val="000000"/>
                <w:sz w:val="18"/>
                <w:szCs w:val="18"/>
              </w:rPr>
            </w:pPr>
            <w:r>
              <w:rPr>
                <w:color w:val="000000"/>
                <w:sz w:val="18"/>
                <w:szCs w:val="18"/>
              </w:rPr>
              <w:t>1</w:t>
            </w:r>
          </w:p>
        </w:tc>
        <w:tc>
          <w:tcPr>
            <w:tcW w:w="1156" w:type="dxa"/>
            <w:vMerge w:val="continue"/>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Merge w:val="continue"/>
            <w:vAlign w:val="center"/>
          </w:tcPr>
          <w:p>
            <w:pPr>
              <w:spacing w:line="300" w:lineRule="exact"/>
              <w:jc w:val="center"/>
              <w:rPr>
                <w:color w:val="000000"/>
                <w:sz w:val="18"/>
                <w:szCs w:val="18"/>
              </w:rPr>
            </w:pPr>
          </w:p>
        </w:tc>
        <w:tc>
          <w:tcPr>
            <w:tcW w:w="348" w:type="dxa"/>
            <w:vMerge w:val="continue"/>
            <w:vAlign w:val="center"/>
          </w:tcPr>
          <w:p>
            <w:pPr>
              <w:spacing w:line="300" w:lineRule="exact"/>
              <w:jc w:val="center"/>
              <w:rPr>
                <w:color w:val="000000"/>
                <w:sz w:val="18"/>
                <w:szCs w:val="18"/>
              </w:rPr>
            </w:pPr>
          </w:p>
        </w:tc>
        <w:tc>
          <w:tcPr>
            <w:tcW w:w="1036" w:type="dxa"/>
            <w:vAlign w:val="center"/>
          </w:tcPr>
          <w:p>
            <w:pPr>
              <w:spacing w:line="300" w:lineRule="exact"/>
              <w:jc w:val="center"/>
              <w:rPr>
                <w:color w:val="000000"/>
                <w:sz w:val="18"/>
                <w:szCs w:val="18"/>
              </w:rPr>
            </w:pPr>
            <w:r>
              <w:rPr>
                <w:color w:val="000000"/>
                <w:sz w:val="18"/>
                <w:szCs w:val="18"/>
              </w:rPr>
              <w:t>1</w:t>
            </w:r>
            <w:r>
              <w:rPr>
                <w:rFonts w:hint="eastAsia"/>
                <w:color w:val="000000"/>
                <w:sz w:val="18"/>
                <w:szCs w:val="18"/>
              </w:rPr>
              <w:t>栋</w:t>
            </w:r>
            <w:r>
              <w:rPr>
                <w:color w:val="000000"/>
                <w:sz w:val="18"/>
                <w:szCs w:val="18"/>
              </w:rPr>
              <w:t>1-2</w:t>
            </w:r>
            <w:r>
              <w:rPr>
                <w:rFonts w:hint="eastAsia"/>
                <w:color w:val="000000"/>
                <w:sz w:val="18"/>
                <w:szCs w:val="18"/>
              </w:rPr>
              <w:t>层</w:t>
            </w:r>
          </w:p>
        </w:tc>
        <w:tc>
          <w:tcPr>
            <w:tcW w:w="1260" w:type="dxa"/>
            <w:vMerge w:val="continue"/>
            <w:vAlign w:val="center"/>
          </w:tcPr>
          <w:p>
            <w:pPr>
              <w:spacing w:line="300" w:lineRule="exact"/>
              <w:jc w:val="center"/>
              <w:rPr>
                <w:color w:val="000000"/>
                <w:sz w:val="18"/>
                <w:szCs w:val="18"/>
              </w:rPr>
            </w:pPr>
          </w:p>
        </w:tc>
        <w:tc>
          <w:tcPr>
            <w:tcW w:w="1080" w:type="dxa"/>
            <w:vMerge w:val="continue"/>
            <w:vAlign w:val="center"/>
          </w:tcPr>
          <w:p>
            <w:pPr>
              <w:spacing w:line="300" w:lineRule="exact"/>
              <w:jc w:val="center"/>
              <w:rPr>
                <w:color w:val="000000"/>
                <w:sz w:val="18"/>
                <w:szCs w:val="18"/>
              </w:rPr>
            </w:pPr>
          </w:p>
        </w:tc>
        <w:tc>
          <w:tcPr>
            <w:tcW w:w="1440" w:type="dxa"/>
            <w:vAlign w:val="center"/>
          </w:tcPr>
          <w:p>
            <w:pPr>
              <w:spacing w:line="300" w:lineRule="exact"/>
              <w:jc w:val="center"/>
              <w:rPr>
                <w:color w:val="000000"/>
                <w:sz w:val="18"/>
                <w:szCs w:val="18"/>
              </w:rPr>
            </w:pPr>
            <w:r>
              <w:rPr>
                <w:rFonts w:hint="eastAsia"/>
                <w:color w:val="000000"/>
                <w:sz w:val="18"/>
                <w:szCs w:val="18"/>
              </w:rPr>
              <w:t>金牛区蜀西路</w:t>
            </w:r>
            <w:r>
              <w:rPr>
                <w:color w:val="000000"/>
                <w:sz w:val="18"/>
                <w:szCs w:val="18"/>
              </w:rPr>
              <w:t>30</w:t>
            </w:r>
            <w:r>
              <w:rPr>
                <w:rFonts w:hint="eastAsia"/>
                <w:color w:val="000000"/>
                <w:sz w:val="18"/>
                <w:szCs w:val="18"/>
              </w:rPr>
              <w:t>号</w:t>
            </w:r>
            <w:r>
              <w:rPr>
                <w:color w:val="000000"/>
                <w:sz w:val="18"/>
                <w:szCs w:val="18"/>
              </w:rPr>
              <w:t>1</w:t>
            </w:r>
            <w:r>
              <w:rPr>
                <w:rFonts w:hint="eastAsia"/>
                <w:color w:val="000000"/>
                <w:sz w:val="18"/>
                <w:szCs w:val="18"/>
              </w:rPr>
              <w:t>栋</w:t>
            </w:r>
            <w:r>
              <w:rPr>
                <w:color w:val="000000"/>
                <w:sz w:val="18"/>
                <w:szCs w:val="18"/>
              </w:rPr>
              <w:t>1-2</w:t>
            </w:r>
            <w:r>
              <w:rPr>
                <w:rFonts w:hint="eastAsia"/>
                <w:color w:val="000000"/>
                <w:sz w:val="18"/>
                <w:szCs w:val="18"/>
              </w:rPr>
              <w:t>层</w:t>
            </w:r>
          </w:p>
        </w:tc>
        <w:tc>
          <w:tcPr>
            <w:tcW w:w="1080" w:type="dxa"/>
            <w:vAlign w:val="center"/>
          </w:tcPr>
          <w:p>
            <w:pPr>
              <w:spacing w:line="300" w:lineRule="exact"/>
              <w:jc w:val="center"/>
              <w:rPr>
                <w:color w:val="000000"/>
                <w:sz w:val="18"/>
                <w:szCs w:val="18"/>
              </w:rPr>
            </w:pPr>
            <w:r>
              <w:rPr>
                <w:rFonts w:hint="eastAsia"/>
                <w:color w:val="000000"/>
                <w:sz w:val="18"/>
                <w:szCs w:val="18"/>
              </w:rPr>
              <w:t>教育</w:t>
            </w:r>
            <w:r>
              <w:rPr>
                <w:color w:val="000000"/>
                <w:sz w:val="18"/>
                <w:szCs w:val="18"/>
              </w:rPr>
              <w:t>/</w:t>
            </w:r>
            <w:r>
              <w:rPr>
                <w:rFonts w:hint="eastAsia"/>
                <w:color w:val="000000"/>
                <w:sz w:val="18"/>
                <w:szCs w:val="18"/>
              </w:rPr>
              <w:t>停车及空置</w:t>
            </w:r>
          </w:p>
        </w:tc>
        <w:tc>
          <w:tcPr>
            <w:tcW w:w="1275" w:type="dxa"/>
            <w:vAlign w:val="center"/>
          </w:tcPr>
          <w:p>
            <w:pPr>
              <w:spacing w:line="300" w:lineRule="exact"/>
              <w:jc w:val="center"/>
              <w:rPr>
                <w:color w:val="000000"/>
                <w:sz w:val="18"/>
                <w:szCs w:val="18"/>
              </w:rPr>
            </w:pPr>
            <w:r>
              <w:rPr>
                <w:color w:val="000000"/>
                <w:sz w:val="18"/>
                <w:szCs w:val="18"/>
              </w:rPr>
              <w:t>585.00</w:t>
            </w:r>
          </w:p>
        </w:tc>
        <w:tc>
          <w:tcPr>
            <w:tcW w:w="1004" w:type="dxa"/>
            <w:vMerge w:val="continue"/>
            <w:vAlign w:val="center"/>
          </w:tcPr>
          <w:p>
            <w:pPr>
              <w:spacing w:line="300" w:lineRule="exact"/>
              <w:jc w:val="center"/>
              <w:rPr>
                <w:color w:val="000000"/>
                <w:sz w:val="18"/>
                <w:szCs w:val="18"/>
              </w:rPr>
            </w:pPr>
          </w:p>
        </w:tc>
        <w:tc>
          <w:tcPr>
            <w:tcW w:w="1156" w:type="dxa"/>
            <w:vMerge w:val="continue"/>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Merge w:val="restart"/>
            <w:vAlign w:val="center"/>
          </w:tcPr>
          <w:p>
            <w:pPr>
              <w:spacing w:line="300" w:lineRule="exact"/>
              <w:jc w:val="center"/>
              <w:rPr>
                <w:color w:val="000000"/>
                <w:sz w:val="18"/>
                <w:szCs w:val="18"/>
              </w:rPr>
            </w:pPr>
            <w:r>
              <w:rPr>
                <w:color w:val="000000"/>
                <w:sz w:val="18"/>
                <w:szCs w:val="18"/>
              </w:rPr>
              <w:t>4</w:t>
            </w:r>
          </w:p>
        </w:tc>
        <w:tc>
          <w:tcPr>
            <w:tcW w:w="348" w:type="dxa"/>
            <w:vMerge w:val="continue"/>
            <w:vAlign w:val="center"/>
          </w:tcPr>
          <w:p>
            <w:pPr>
              <w:spacing w:line="300" w:lineRule="exact"/>
              <w:jc w:val="center"/>
              <w:rPr>
                <w:color w:val="000000"/>
                <w:sz w:val="18"/>
                <w:szCs w:val="18"/>
              </w:rPr>
            </w:pPr>
          </w:p>
        </w:tc>
        <w:tc>
          <w:tcPr>
            <w:tcW w:w="1036" w:type="dxa"/>
            <w:vAlign w:val="center"/>
          </w:tcPr>
          <w:p>
            <w:pPr>
              <w:spacing w:line="300" w:lineRule="exact"/>
              <w:jc w:val="center"/>
              <w:rPr>
                <w:color w:val="000000"/>
                <w:sz w:val="18"/>
                <w:szCs w:val="18"/>
              </w:rPr>
            </w:pPr>
            <w:r>
              <w:rPr>
                <w:color w:val="000000"/>
                <w:sz w:val="18"/>
                <w:szCs w:val="18"/>
              </w:rPr>
              <w:t>3</w:t>
            </w:r>
            <w:r>
              <w:rPr>
                <w:rFonts w:hint="eastAsia"/>
                <w:color w:val="000000"/>
                <w:sz w:val="18"/>
                <w:szCs w:val="18"/>
              </w:rPr>
              <w:t>栋</w:t>
            </w:r>
            <w:r>
              <w:rPr>
                <w:color w:val="000000"/>
                <w:sz w:val="18"/>
                <w:szCs w:val="18"/>
              </w:rPr>
              <w:t>1</w:t>
            </w:r>
            <w:r>
              <w:rPr>
                <w:rFonts w:hint="eastAsia"/>
                <w:color w:val="000000"/>
                <w:sz w:val="18"/>
                <w:szCs w:val="18"/>
              </w:rPr>
              <w:t>层</w:t>
            </w:r>
          </w:p>
        </w:tc>
        <w:tc>
          <w:tcPr>
            <w:tcW w:w="1260" w:type="dxa"/>
            <w:vMerge w:val="restart"/>
            <w:vAlign w:val="center"/>
          </w:tcPr>
          <w:p>
            <w:pPr>
              <w:spacing w:line="300" w:lineRule="exact"/>
              <w:jc w:val="center"/>
              <w:rPr>
                <w:color w:val="000000"/>
                <w:sz w:val="18"/>
                <w:szCs w:val="18"/>
              </w:rPr>
            </w:pPr>
            <w:r>
              <w:rPr>
                <w:rFonts w:hint="eastAsia"/>
                <w:color w:val="000000"/>
                <w:sz w:val="18"/>
                <w:szCs w:val="18"/>
              </w:rPr>
              <w:t>成房权证监证字第</w:t>
            </w:r>
            <w:r>
              <w:rPr>
                <w:color w:val="000000"/>
                <w:sz w:val="18"/>
                <w:szCs w:val="18"/>
              </w:rPr>
              <w:t>2069856</w:t>
            </w:r>
            <w:r>
              <w:rPr>
                <w:rFonts w:hint="eastAsia"/>
                <w:color w:val="000000"/>
                <w:sz w:val="18"/>
                <w:szCs w:val="18"/>
              </w:rPr>
              <w:t>号</w:t>
            </w:r>
          </w:p>
        </w:tc>
        <w:tc>
          <w:tcPr>
            <w:tcW w:w="1080" w:type="dxa"/>
            <w:vMerge w:val="restart"/>
            <w:vAlign w:val="center"/>
          </w:tcPr>
          <w:p>
            <w:pPr>
              <w:spacing w:line="300" w:lineRule="exact"/>
              <w:jc w:val="center"/>
              <w:rPr>
                <w:color w:val="000000"/>
                <w:sz w:val="18"/>
                <w:szCs w:val="18"/>
              </w:rPr>
            </w:pPr>
            <w:r>
              <w:rPr>
                <w:rFonts w:hint="eastAsia"/>
                <w:color w:val="000000"/>
                <w:sz w:val="18"/>
                <w:szCs w:val="18"/>
              </w:rPr>
              <w:t>成都中汇制药有限公司</w:t>
            </w:r>
          </w:p>
        </w:tc>
        <w:tc>
          <w:tcPr>
            <w:tcW w:w="1440" w:type="dxa"/>
            <w:vAlign w:val="center"/>
          </w:tcPr>
          <w:p>
            <w:pPr>
              <w:spacing w:line="300" w:lineRule="exact"/>
              <w:jc w:val="center"/>
              <w:rPr>
                <w:color w:val="000000"/>
                <w:sz w:val="18"/>
                <w:szCs w:val="18"/>
              </w:rPr>
            </w:pPr>
            <w:r>
              <w:rPr>
                <w:rFonts w:hint="eastAsia"/>
                <w:color w:val="000000"/>
                <w:sz w:val="18"/>
                <w:szCs w:val="18"/>
              </w:rPr>
              <w:t>金牛区蜀西路</w:t>
            </w:r>
            <w:r>
              <w:rPr>
                <w:color w:val="000000"/>
                <w:sz w:val="18"/>
                <w:szCs w:val="18"/>
              </w:rPr>
              <w:t>30</w:t>
            </w:r>
            <w:r>
              <w:rPr>
                <w:rFonts w:hint="eastAsia"/>
                <w:color w:val="000000"/>
                <w:sz w:val="18"/>
                <w:szCs w:val="18"/>
              </w:rPr>
              <w:t>号</w:t>
            </w:r>
            <w:r>
              <w:rPr>
                <w:color w:val="000000"/>
                <w:sz w:val="18"/>
                <w:szCs w:val="18"/>
              </w:rPr>
              <w:t>3</w:t>
            </w:r>
            <w:r>
              <w:rPr>
                <w:rFonts w:hint="eastAsia"/>
                <w:color w:val="000000"/>
                <w:sz w:val="18"/>
                <w:szCs w:val="18"/>
              </w:rPr>
              <w:t>栋</w:t>
            </w:r>
            <w:r>
              <w:rPr>
                <w:color w:val="000000"/>
                <w:sz w:val="18"/>
                <w:szCs w:val="18"/>
              </w:rPr>
              <w:t>1</w:t>
            </w:r>
            <w:r>
              <w:rPr>
                <w:rFonts w:hint="eastAsia"/>
                <w:color w:val="000000"/>
                <w:sz w:val="18"/>
                <w:szCs w:val="18"/>
              </w:rPr>
              <w:t>层</w:t>
            </w:r>
          </w:p>
        </w:tc>
        <w:tc>
          <w:tcPr>
            <w:tcW w:w="1080" w:type="dxa"/>
            <w:vAlign w:val="center"/>
          </w:tcPr>
          <w:p>
            <w:pPr>
              <w:spacing w:line="300" w:lineRule="exact"/>
              <w:jc w:val="center"/>
              <w:rPr>
                <w:color w:val="000000"/>
                <w:sz w:val="18"/>
                <w:szCs w:val="18"/>
              </w:rPr>
            </w:pPr>
            <w:r>
              <w:rPr>
                <w:rFonts w:hint="eastAsia"/>
                <w:color w:val="000000"/>
                <w:sz w:val="18"/>
                <w:szCs w:val="18"/>
              </w:rPr>
              <w:t>其它</w:t>
            </w:r>
            <w:r>
              <w:rPr>
                <w:color w:val="000000"/>
                <w:sz w:val="18"/>
                <w:szCs w:val="18"/>
              </w:rPr>
              <w:t>/</w:t>
            </w:r>
            <w:r>
              <w:rPr>
                <w:rFonts w:hint="eastAsia"/>
                <w:color w:val="000000"/>
                <w:sz w:val="18"/>
                <w:szCs w:val="18"/>
              </w:rPr>
              <w:t>摩托车展厅</w:t>
            </w:r>
          </w:p>
        </w:tc>
        <w:tc>
          <w:tcPr>
            <w:tcW w:w="1275" w:type="dxa"/>
            <w:vAlign w:val="center"/>
          </w:tcPr>
          <w:p>
            <w:pPr>
              <w:spacing w:line="300" w:lineRule="exact"/>
              <w:jc w:val="center"/>
              <w:rPr>
                <w:color w:val="000000"/>
                <w:sz w:val="18"/>
                <w:szCs w:val="18"/>
              </w:rPr>
            </w:pPr>
            <w:r>
              <w:rPr>
                <w:color w:val="000000"/>
                <w:sz w:val="18"/>
                <w:szCs w:val="18"/>
              </w:rPr>
              <w:t>732</w:t>
            </w:r>
          </w:p>
        </w:tc>
        <w:tc>
          <w:tcPr>
            <w:tcW w:w="1004" w:type="dxa"/>
            <w:vMerge w:val="restart"/>
            <w:vAlign w:val="center"/>
          </w:tcPr>
          <w:p>
            <w:pPr>
              <w:spacing w:line="300" w:lineRule="exact"/>
              <w:jc w:val="center"/>
              <w:rPr>
                <w:color w:val="000000"/>
                <w:sz w:val="18"/>
                <w:szCs w:val="18"/>
              </w:rPr>
            </w:pPr>
            <w:r>
              <w:rPr>
                <w:color w:val="000000"/>
                <w:sz w:val="18"/>
                <w:szCs w:val="18"/>
              </w:rPr>
              <w:t>3</w:t>
            </w:r>
          </w:p>
        </w:tc>
        <w:tc>
          <w:tcPr>
            <w:tcW w:w="1156" w:type="dxa"/>
            <w:vMerge w:val="continue"/>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Merge w:val="continue"/>
            <w:vAlign w:val="center"/>
          </w:tcPr>
          <w:p>
            <w:pPr>
              <w:spacing w:line="300" w:lineRule="exact"/>
              <w:jc w:val="center"/>
              <w:rPr>
                <w:color w:val="000000"/>
                <w:sz w:val="18"/>
                <w:szCs w:val="18"/>
              </w:rPr>
            </w:pPr>
          </w:p>
        </w:tc>
        <w:tc>
          <w:tcPr>
            <w:tcW w:w="348" w:type="dxa"/>
            <w:vMerge w:val="continue"/>
            <w:vAlign w:val="center"/>
          </w:tcPr>
          <w:p>
            <w:pPr>
              <w:spacing w:line="300" w:lineRule="exact"/>
              <w:jc w:val="center"/>
              <w:rPr>
                <w:color w:val="000000"/>
                <w:sz w:val="18"/>
                <w:szCs w:val="18"/>
              </w:rPr>
            </w:pPr>
          </w:p>
        </w:tc>
        <w:tc>
          <w:tcPr>
            <w:tcW w:w="1036" w:type="dxa"/>
            <w:vAlign w:val="center"/>
          </w:tcPr>
          <w:p>
            <w:pPr>
              <w:spacing w:line="300" w:lineRule="exact"/>
              <w:jc w:val="center"/>
              <w:rPr>
                <w:color w:val="000000"/>
                <w:sz w:val="18"/>
                <w:szCs w:val="18"/>
              </w:rPr>
            </w:pPr>
            <w:r>
              <w:rPr>
                <w:color w:val="000000"/>
                <w:sz w:val="18"/>
                <w:szCs w:val="18"/>
              </w:rPr>
              <w:t>3</w:t>
            </w:r>
            <w:r>
              <w:rPr>
                <w:rFonts w:hint="eastAsia"/>
                <w:color w:val="000000"/>
                <w:sz w:val="18"/>
                <w:szCs w:val="18"/>
              </w:rPr>
              <w:t>栋</w:t>
            </w:r>
            <w:r>
              <w:rPr>
                <w:color w:val="000000"/>
                <w:sz w:val="18"/>
                <w:szCs w:val="18"/>
              </w:rPr>
              <w:t>1-6</w:t>
            </w:r>
            <w:r>
              <w:rPr>
                <w:rFonts w:hint="eastAsia"/>
                <w:color w:val="000000"/>
                <w:sz w:val="18"/>
                <w:szCs w:val="18"/>
              </w:rPr>
              <w:t>层</w:t>
            </w:r>
          </w:p>
        </w:tc>
        <w:tc>
          <w:tcPr>
            <w:tcW w:w="1260" w:type="dxa"/>
            <w:vMerge w:val="continue"/>
            <w:vAlign w:val="center"/>
          </w:tcPr>
          <w:p>
            <w:pPr>
              <w:spacing w:line="300" w:lineRule="exact"/>
              <w:jc w:val="center"/>
              <w:rPr>
                <w:color w:val="000000"/>
                <w:sz w:val="18"/>
                <w:szCs w:val="18"/>
              </w:rPr>
            </w:pPr>
          </w:p>
        </w:tc>
        <w:tc>
          <w:tcPr>
            <w:tcW w:w="1080" w:type="dxa"/>
            <w:vMerge w:val="continue"/>
            <w:vAlign w:val="center"/>
          </w:tcPr>
          <w:p>
            <w:pPr>
              <w:spacing w:line="300" w:lineRule="exact"/>
              <w:jc w:val="center"/>
              <w:rPr>
                <w:color w:val="000000"/>
                <w:sz w:val="18"/>
                <w:szCs w:val="18"/>
              </w:rPr>
            </w:pPr>
          </w:p>
        </w:tc>
        <w:tc>
          <w:tcPr>
            <w:tcW w:w="1440" w:type="dxa"/>
            <w:vAlign w:val="center"/>
          </w:tcPr>
          <w:p>
            <w:pPr>
              <w:spacing w:line="300" w:lineRule="exact"/>
              <w:jc w:val="center"/>
              <w:rPr>
                <w:color w:val="000000"/>
                <w:sz w:val="18"/>
                <w:szCs w:val="18"/>
              </w:rPr>
            </w:pPr>
            <w:r>
              <w:rPr>
                <w:rFonts w:hint="eastAsia"/>
                <w:color w:val="000000"/>
                <w:sz w:val="18"/>
                <w:szCs w:val="18"/>
              </w:rPr>
              <w:t>金牛区蜀西路</w:t>
            </w:r>
            <w:r>
              <w:rPr>
                <w:color w:val="000000"/>
                <w:sz w:val="18"/>
                <w:szCs w:val="18"/>
              </w:rPr>
              <w:t>30</w:t>
            </w:r>
            <w:r>
              <w:rPr>
                <w:rFonts w:hint="eastAsia"/>
                <w:color w:val="000000"/>
                <w:sz w:val="18"/>
                <w:szCs w:val="18"/>
              </w:rPr>
              <w:t>号</w:t>
            </w:r>
            <w:r>
              <w:rPr>
                <w:color w:val="000000"/>
                <w:sz w:val="18"/>
                <w:szCs w:val="18"/>
              </w:rPr>
              <w:t>3</w:t>
            </w:r>
            <w:r>
              <w:rPr>
                <w:rFonts w:hint="eastAsia"/>
                <w:color w:val="000000"/>
                <w:sz w:val="18"/>
                <w:szCs w:val="18"/>
              </w:rPr>
              <w:t>栋</w:t>
            </w:r>
            <w:r>
              <w:rPr>
                <w:color w:val="000000"/>
                <w:sz w:val="18"/>
                <w:szCs w:val="18"/>
              </w:rPr>
              <w:t>1-6</w:t>
            </w:r>
            <w:r>
              <w:rPr>
                <w:rFonts w:hint="eastAsia"/>
                <w:color w:val="000000"/>
                <w:sz w:val="18"/>
                <w:szCs w:val="18"/>
              </w:rPr>
              <w:t>层</w:t>
            </w:r>
          </w:p>
        </w:tc>
        <w:tc>
          <w:tcPr>
            <w:tcW w:w="1080" w:type="dxa"/>
            <w:vAlign w:val="center"/>
          </w:tcPr>
          <w:p>
            <w:pPr>
              <w:spacing w:line="300" w:lineRule="exact"/>
              <w:jc w:val="center"/>
              <w:rPr>
                <w:color w:val="000000"/>
                <w:sz w:val="18"/>
                <w:szCs w:val="18"/>
              </w:rPr>
            </w:pPr>
            <w:r>
              <w:rPr>
                <w:rFonts w:hint="eastAsia"/>
                <w:color w:val="000000"/>
                <w:sz w:val="18"/>
                <w:szCs w:val="18"/>
              </w:rPr>
              <w:t>住宅</w:t>
            </w:r>
            <w:r>
              <w:rPr>
                <w:color w:val="000000"/>
                <w:sz w:val="18"/>
                <w:szCs w:val="18"/>
              </w:rPr>
              <w:t>/</w:t>
            </w:r>
            <w:r>
              <w:rPr>
                <w:rFonts w:hint="eastAsia"/>
                <w:color w:val="000000"/>
                <w:sz w:val="18"/>
                <w:szCs w:val="18"/>
              </w:rPr>
              <w:t>办公及经营</w:t>
            </w:r>
          </w:p>
        </w:tc>
        <w:tc>
          <w:tcPr>
            <w:tcW w:w="1275" w:type="dxa"/>
            <w:vAlign w:val="center"/>
          </w:tcPr>
          <w:p>
            <w:pPr>
              <w:spacing w:line="300" w:lineRule="exact"/>
              <w:jc w:val="center"/>
              <w:rPr>
                <w:color w:val="000000"/>
                <w:sz w:val="18"/>
                <w:szCs w:val="18"/>
              </w:rPr>
            </w:pPr>
            <w:r>
              <w:rPr>
                <w:color w:val="000000"/>
                <w:sz w:val="18"/>
                <w:szCs w:val="18"/>
              </w:rPr>
              <w:t>2902</w:t>
            </w:r>
          </w:p>
        </w:tc>
        <w:tc>
          <w:tcPr>
            <w:tcW w:w="1004" w:type="dxa"/>
            <w:vMerge w:val="continue"/>
            <w:vAlign w:val="center"/>
          </w:tcPr>
          <w:p>
            <w:pPr>
              <w:spacing w:line="300" w:lineRule="exact"/>
              <w:jc w:val="center"/>
              <w:rPr>
                <w:color w:val="000000"/>
                <w:sz w:val="18"/>
                <w:szCs w:val="18"/>
              </w:rPr>
            </w:pPr>
          </w:p>
        </w:tc>
        <w:tc>
          <w:tcPr>
            <w:tcW w:w="1156" w:type="dxa"/>
            <w:vMerge w:val="continue"/>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Align w:val="center"/>
          </w:tcPr>
          <w:p>
            <w:pPr>
              <w:spacing w:line="300" w:lineRule="exact"/>
              <w:jc w:val="center"/>
              <w:rPr>
                <w:color w:val="000000"/>
                <w:sz w:val="18"/>
                <w:szCs w:val="18"/>
              </w:rPr>
            </w:pPr>
            <w:r>
              <w:rPr>
                <w:color w:val="000000"/>
                <w:sz w:val="18"/>
                <w:szCs w:val="18"/>
              </w:rPr>
              <w:t>5</w:t>
            </w:r>
          </w:p>
        </w:tc>
        <w:tc>
          <w:tcPr>
            <w:tcW w:w="348" w:type="dxa"/>
            <w:vMerge w:val="continue"/>
            <w:vAlign w:val="center"/>
          </w:tcPr>
          <w:p>
            <w:pPr>
              <w:spacing w:line="300" w:lineRule="exact"/>
              <w:jc w:val="center"/>
              <w:rPr>
                <w:color w:val="000000"/>
                <w:sz w:val="18"/>
                <w:szCs w:val="18"/>
              </w:rPr>
            </w:pPr>
          </w:p>
        </w:tc>
        <w:tc>
          <w:tcPr>
            <w:tcW w:w="1036" w:type="dxa"/>
            <w:vAlign w:val="center"/>
          </w:tcPr>
          <w:p>
            <w:pPr>
              <w:spacing w:line="300" w:lineRule="exact"/>
              <w:jc w:val="center"/>
              <w:rPr>
                <w:color w:val="000000"/>
                <w:sz w:val="18"/>
                <w:szCs w:val="18"/>
              </w:rPr>
            </w:pPr>
            <w:r>
              <w:rPr>
                <w:rFonts w:hint="eastAsia"/>
                <w:color w:val="000000"/>
                <w:sz w:val="18"/>
                <w:szCs w:val="18"/>
              </w:rPr>
              <w:t>测绘编号</w:t>
            </w:r>
            <w:r>
              <w:rPr>
                <w:color w:val="000000"/>
                <w:sz w:val="18"/>
                <w:szCs w:val="18"/>
              </w:rPr>
              <w:t>2</w:t>
            </w:r>
            <w:r>
              <w:rPr>
                <w:rFonts w:hint="eastAsia"/>
                <w:color w:val="000000"/>
                <w:sz w:val="18"/>
                <w:szCs w:val="18"/>
              </w:rPr>
              <w:t>栋</w:t>
            </w:r>
          </w:p>
        </w:tc>
        <w:tc>
          <w:tcPr>
            <w:tcW w:w="1260" w:type="dxa"/>
            <w:vAlign w:val="center"/>
          </w:tcPr>
          <w:p>
            <w:pPr>
              <w:spacing w:line="300" w:lineRule="exact"/>
              <w:jc w:val="center"/>
              <w:rPr>
                <w:color w:val="000000"/>
                <w:sz w:val="18"/>
                <w:szCs w:val="18"/>
              </w:rPr>
            </w:pPr>
            <w:r>
              <w:rPr>
                <w:rFonts w:hint="eastAsia"/>
                <w:color w:val="000000"/>
                <w:sz w:val="18"/>
                <w:szCs w:val="18"/>
              </w:rPr>
              <w:t>无权证</w:t>
            </w:r>
          </w:p>
        </w:tc>
        <w:tc>
          <w:tcPr>
            <w:tcW w:w="1080" w:type="dxa"/>
            <w:vAlign w:val="center"/>
          </w:tcPr>
          <w:p>
            <w:pPr>
              <w:spacing w:line="300" w:lineRule="exact"/>
              <w:jc w:val="center"/>
              <w:rPr>
                <w:color w:val="000000"/>
                <w:sz w:val="18"/>
                <w:szCs w:val="18"/>
              </w:rPr>
            </w:pPr>
            <w:r>
              <w:rPr>
                <w:color w:val="000000"/>
                <w:sz w:val="18"/>
                <w:szCs w:val="18"/>
              </w:rPr>
              <w:t>/</w:t>
            </w:r>
          </w:p>
        </w:tc>
        <w:tc>
          <w:tcPr>
            <w:tcW w:w="1440" w:type="dxa"/>
            <w:vAlign w:val="center"/>
          </w:tcPr>
          <w:p>
            <w:pPr>
              <w:spacing w:line="300" w:lineRule="exact"/>
              <w:jc w:val="center"/>
              <w:rPr>
                <w:color w:val="000000"/>
                <w:sz w:val="18"/>
                <w:szCs w:val="18"/>
              </w:rPr>
            </w:pPr>
            <w:r>
              <w:rPr>
                <w:rFonts w:hint="eastAsia"/>
                <w:color w:val="000000"/>
                <w:sz w:val="18"/>
                <w:szCs w:val="18"/>
              </w:rPr>
              <w:t>宗地西南侧</w:t>
            </w:r>
          </w:p>
        </w:tc>
        <w:tc>
          <w:tcPr>
            <w:tcW w:w="1080" w:type="dxa"/>
            <w:vAlign w:val="center"/>
          </w:tcPr>
          <w:p>
            <w:pPr>
              <w:spacing w:line="300" w:lineRule="exact"/>
              <w:jc w:val="center"/>
              <w:rPr>
                <w:color w:val="000000"/>
                <w:sz w:val="18"/>
                <w:szCs w:val="18"/>
              </w:rPr>
            </w:pPr>
            <w:r>
              <w:rPr>
                <w:rFonts w:hint="eastAsia"/>
                <w:color w:val="000000"/>
                <w:sz w:val="18"/>
                <w:szCs w:val="18"/>
              </w:rPr>
              <w:t>门卫房</w:t>
            </w:r>
          </w:p>
        </w:tc>
        <w:tc>
          <w:tcPr>
            <w:tcW w:w="1275" w:type="dxa"/>
            <w:vAlign w:val="center"/>
          </w:tcPr>
          <w:p>
            <w:pPr>
              <w:spacing w:line="300" w:lineRule="exact"/>
              <w:jc w:val="center"/>
              <w:rPr>
                <w:color w:val="000000"/>
                <w:sz w:val="18"/>
                <w:szCs w:val="18"/>
              </w:rPr>
            </w:pPr>
            <w:r>
              <w:rPr>
                <w:color w:val="000000"/>
                <w:sz w:val="18"/>
                <w:szCs w:val="18"/>
              </w:rPr>
              <w:t>16.04</w:t>
            </w:r>
          </w:p>
        </w:tc>
        <w:tc>
          <w:tcPr>
            <w:tcW w:w="1004" w:type="dxa"/>
            <w:vAlign w:val="center"/>
          </w:tcPr>
          <w:p>
            <w:pPr>
              <w:spacing w:line="300" w:lineRule="exact"/>
              <w:jc w:val="center"/>
              <w:rPr>
                <w:color w:val="000000"/>
                <w:sz w:val="18"/>
                <w:szCs w:val="18"/>
              </w:rPr>
            </w:pPr>
            <w:r>
              <w:rPr>
                <w:color w:val="000000"/>
                <w:sz w:val="18"/>
                <w:szCs w:val="18"/>
              </w:rPr>
              <w:t>/</w:t>
            </w:r>
          </w:p>
        </w:tc>
        <w:tc>
          <w:tcPr>
            <w:tcW w:w="1156" w:type="dxa"/>
            <w:vMerge w:val="continue"/>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Align w:val="center"/>
          </w:tcPr>
          <w:p>
            <w:pPr>
              <w:spacing w:line="300" w:lineRule="exact"/>
              <w:jc w:val="center"/>
              <w:rPr>
                <w:color w:val="000000"/>
                <w:sz w:val="18"/>
                <w:szCs w:val="18"/>
              </w:rPr>
            </w:pPr>
            <w:r>
              <w:rPr>
                <w:color w:val="000000"/>
                <w:sz w:val="18"/>
                <w:szCs w:val="18"/>
              </w:rPr>
              <w:t>6</w:t>
            </w:r>
          </w:p>
        </w:tc>
        <w:tc>
          <w:tcPr>
            <w:tcW w:w="348" w:type="dxa"/>
            <w:vMerge w:val="continue"/>
            <w:vAlign w:val="center"/>
          </w:tcPr>
          <w:p>
            <w:pPr>
              <w:spacing w:line="300" w:lineRule="exact"/>
              <w:jc w:val="center"/>
              <w:rPr>
                <w:color w:val="000000"/>
                <w:sz w:val="18"/>
                <w:szCs w:val="18"/>
              </w:rPr>
            </w:pPr>
          </w:p>
        </w:tc>
        <w:tc>
          <w:tcPr>
            <w:tcW w:w="1036" w:type="dxa"/>
            <w:vAlign w:val="center"/>
          </w:tcPr>
          <w:p>
            <w:pPr>
              <w:spacing w:line="300" w:lineRule="exact"/>
              <w:jc w:val="center"/>
              <w:rPr>
                <w:color w:val="000000"/>
                <w:sz w:val="18"/>
                <w:szCs w:val="18"/>
              </w:rPr>
            </w:pPr>
            <w:r>
              <w:rPr>
                <w:rFonts w:hint="eastAsia"/>
                <w:color w:val="000000"/>
                <w:sz w:val="18"/>
                <w:szCs w:val="18"/>
              </w:rPr>
              <w:t>测绘编号</w:t>
            </w:r>
            <w:r>
              <w:rPr>
                <w:color w:val="000000"/>
                <w:sz w:val="18"/>
                <w:szCs w:val="18"/>
              </w:rPr>
              <w:t>6</w:t>
            </w:r>
            <w:r>
              <w:rPr>
                <w:rFonts w:hint="eastAsia"/>
                <w:color w:val="000000"/>
                <w:sz w:val="18"/>
                <w:szCs w:val="18"/>
              </w:rPr>
              <w:t>栋</w:t>
            </w:r>
          </w:p>
        </w:tc>
        <w:tc>
          <w:tcPr>
            <w:tcW w:w="1260" w:type="dxa"/>
            <w:vAlign w:val="center"/>
          </w:tcPr>
          <w:p>
            <w:pPr>
              <w:spacing w:line="300" w:lineRule="exact"/>
              <w:jc w:val="center"/>
              <w:rPr>
                <w:color w:val="000000"/>
                <w:sz w:val="18"/>
                <w:szCs w:val="18"/>
              </w:rPr>
            </w:pPr>
            <w:r>
              <w:rPr>
                <w:rFonts w:hint="eastAsia"/>
                <w:color w:val="000000"/>
                <w:sz w:val="18"/>
                <w:szCs w:val="18"/>
              </w:rPr>
              <w:t>无权证</w:t>
            </w:r>
          </w:p>
        </w:tc>
        <w:tc>
          <w:tcPr>
            <w:tcW w:w="1080" w:type="dxa"/>
            <w:vAlign w:val="center"/>
          </w:tcPr>
          <w:p>
            <w:pPr>
              <w:spacing w:line="300" w:lineRule="exact"/>
              <w:jc w:val="center"/>
              <w:rPr>
                <w:color w:val="000000"/>
                <w:sz w:val="18"/>
                <w:szCs w:val="18"/>
              </w:rPr>
            </w:pPr>
            <w:r>
              <w:rPr>
                <w:color w:val="000000"/>
                <w:sz w:val="18"/>
                <w:szCs w:val="18"/>
              </w:rPr>
              <w:t>/</w:t>
            </w:r>
          </w:p>
        </w:tc>
        <w:tc>
          <w:tcPr>
            <w:tcW w:w="1440" w:type="dxa"/>
            <w:vAlign w:val="center"/>
          </w:tcPr>
          <w:p>
            <w:pPr>
              <w:spacing w:line="300" w:lineRule="exact"/>
              <w:jc w:val="center"/>
              <w:rPr>
                <w:color w:val="000000"/>
                <w:sz w:val="18"/>
                <w:szCs w:val="18"/>
              </w:rPr>
            </w:pPr>
            <w:r>
              <w:rPr>
                <w:rFonts w:hint="eastAsia"/>
                <w:color w:val="000000"/>
                <w:sz w:val="18"/>
                <w:szCs w:val="18"/>
              </w:rPr>
              <w:t>宗地西北侧</w:t>
            </w:r>
          </w:p>
        </w:tc>
        <w:tc>
          <w:tcPr>
            <w:tcW w:w="1080" w:type="dxa"/>
            <w:vAlign w:val="center"/>
          </w:tcPr>
          <w:p>
            <w:pPr>
              <w:spacing w:line="300" w:lineRule="exact"/>
              <w:jc w:val="center"/>
              <w:rPr>
                <w:color w:val="000000"/>
                <w:sz w:val="18"/>
                <w:szCs w:val="18"/>
              </w:rPr>
            </w:pPr>
            <w:r>
              <w:rPr>
                <w:rFonts w:hint="eastAsia"/>
                <w:color w:val="000000"/>
                <w:sz w:val="18"/>
                <w:szCs w:val="18"/>
              </w:rPr>
              <w:t>小库房</w:t>
            </w:r>
          </w:p>
        </w:tc>
        <w:tc>
          <w:tcPr>
            <w:tcW w:w="1275" w:type="dxa"/>
            <w:vAlign w:val="center"/>
          </w:tcPr>
          <w:p>
            <w:pPr>
              <w:spacing w:line="300" w:lineRule="exact"/>
              <w:jc w:val="center"/>
              <w:rPr>
                <w:color w:val="000000"/>
                <w:sz w:val="18"/>
                <w:szCs w:val="18"/>
              </w:rPr>
            </w:pPr>
            <w:r>
              <w:rPr>
                <w:color w:val="000000"/>
                <w:sz w:val="18"/>
                <w:szCs w:val="18"/>
              </w:rPr>
              <w:t>9.92</w:t>
            </w:r>
          </w:p>
        </w:tc>
        <w:tc>
          <w:tcPr>
            <w:tcW w:w="1004" w:type="dxa"/>
            <w:vAlign w:val="center"/>
          </w:tcPr>
          <w:p>
            <w:pPr>
              <w:spacing w:line="300" w:lineRule="exact"/>
              <w:jc w:val="center"/>
              <w:rPr>
                <w:color w:val="000000"/>
                <w:sz w:val="18"/>
                <w:szCs w:val="18"/>
              </w:rPr>
            </w:pPr>
            <w:r>
              <w:rPr>
                <w:color w:val="000000"/>
                <w:sz w:val="18"/>
                <w:szCs w:val="18"/>
              </w:rPr>
              <w:t>/</w:t>
            </w:r>
          </w:p>
        </w:tc>
        <w:tc>
          <w:tcPr>
            <w:tcW w:w="1156" w:type="dxa"/>
            <w:vMerge w:val="continue"/>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75" w:type="dxa"/>
            <w:vAlign w:val="center"/>
          </w:tcPr>
          <w:p>
            <w:pPr>
              <w:spacing w:line="300" w:lineRule="exact"/>
              <w:jc w:val="center"/>
              <w:rPr>
                <w:color w:val="000000"/>
                <w:sz w:val="18"/>
                <w:szCs w:val="18"/>
              </w:rPr>
            </w:pPr>
            <w:r>
              <w:rPr>
                <w:color w:val="000000"/>
                <w:sz w:val="18"/>
                <w:szCs w:val="18"/>
              </w:rPr>
              <w:t>7</w:t>
            </w:r>
          </w:p>
        </w:tc>
        <w:tc>
          <w:tcPr>
            <w:tcW w:w="348" w:type="dxa"/>
            <w:vMerge w:val="continue"/>
            <w:vAlign w:val="center"/>
          </w:tcPr>
          <w:p>
            <w:pPr>
              <w:spacing w:line="300" w:lineRule="exact"/>
              <w:jc w:val="center"/>
              <w:rPr>
                <w:color w:val="000000"/>
                <w:sz w:val="18"/>
                <w:szCs w:val="18"/>
              </w:rPr>
            </w:pPr>
          </w:p>
        </w:tc>
        <w:tc>
          <w:tcPr>
            <w:tcW w:w="1036" w:type="dxa"/>
            <w:vAlign w:val="center"/>
          </w:tcPr>
          <w:p>
            <w:pPr>
              <w:spacing w:line="300" w:lineRule="exact"/>
              <w:jc w:val="center"/>
              <w:rPr>
                <w:color w:val="000000"/>
                <w:sz w:val="18"/>
                <w:szCs w:val="18"/>
              </w:rPr>
            </w:pPr>
            <w:r>
              <w:rPr>
                <w:rFonts w:hint="eastAsia"/>
                <w:color w:val="000000"/>
                <w:sz w:val="18"/>
                <w:szCs w:val="18"/>
              </w:rPr>
              <w:t>测绘编号</w:t>
            </w:r>
            <w:r>
              <w:rPr>
                <w:color w:val="000000"/>
                <w:sz w:val="18"/>
                <w:szCs w:val="18"/>
              </w:rPr>
              <w:t>7</w:t>
            </w:r>
            <w:r>
              <w:rPr>
                <w:rFonts w:hint="eastAsia"/>
                <w:color w:val="000000"/>
                <w:sz w:val="18"/>
                <w:szCs w:val="18"/>
              </w:rPr>
              <w:t>栋</w:t>
            </w:r>
          </w:p>
        </w:tc>
        <w:tc>
          <w:tcPr>
            <w:tcW w:w="1260" w:type="dxa"/>
            <w:vAlign w:val="center"/>
          </w:tcPr>
          <w:p>
            <w:pPr>
              <w:spacing w:line="300" w:lineRule="exact"/>
              <w:jc w:val="center"/>
              <w:rPr>
                <w:color w:val="000000"/>
                <w:sz w:val="18"/>
                <w:szCs w:val="18"/>
              </w:rPr>
            </w:pPr>
            <w:r>
              <w:rPr>
                <w:rFonts w:hint="eastAsia"/>
                <w:color w:val="000000"/>
                <w:sz w:val="18"/>
                <w:szCs w:val="18"/>
              </w:rPr>
              <w:t>无权证</w:t>
            </w:r>
          </w:p>
        </w:tc>
        <w:tc>
          <w:tcPr>
            <w:tcW w:w="1080" w:type="dxa"/>
            <w:vAlign w:val="center"/>
          </w:tcPr>
          <w:p>
            <w:pPr>
              <w:spacing w:line="300" w:lineRule="exact"/>
              <w:jc w:val="center"/>
              <w:rPr>
                <w:color w:val="000000"/>
                <w:sz w:val="18"/>
                <w:szCs w:val="18"/>
              </w:rPr>
            </w:pPr>
            <w:r>
              <w:rPr>
                <w:color w:val="000000"/>
                <w:sz w:val="18"/>
                <w:szCs w:val="18"/>
              </w:rPr>
              <w:t>/</w:t>
            </w:r>
          </w:p>
        </w:tc>
        <w:tc>
          <w:tcPr>
            <w:tcW w:w="1440" w:type="dxa"/>
            <w:vAlign w:val="center"/>
          </w:tcPr>
          <w:p>
            <w:pPr>
              <w:spacing w:line="300" w:lineRule="exact"/>
              <w:jc w:val="center"/>
              <w:rPr>
                <w:color w:val="000000"/>
                <w:sz w:val="18"/>
                <w:szCs w:val="18"/>
              </w:rPr>
            </w:pPr>
            <w:r>
              <w:rPr>
                <w:rFonts w:hint="eastAsia"/>
                <w:color w:val="000000"/>
                <w:sz w:val="18"/>
                <w:szCs w:val="18"/>
              </w:rPr>
              <w:t>宗地东北侧</w:t>
            </w:r>
          </w:p>
        </w:tc>
        <w:tc>
          <w:tcPr>
            <w:tcW w:w="1080" w:type="dxa"/>
            <w:vAlign w:val="center"/>
          </w:tcPr>
          <w:p>
            <w:pPr>
              <w:spacing w:line="300" w:lineRule="exact"/>
              <w:jc w:val="center"/>
              <w:rPr>
                <w:color w:val="000000"/>
                <w:sz w:val="18"/>
                <w:szCs w:val="18"/>
              </w:rPr>
            </w:pPr>
            <w:r>
              <w:rPr>
                <w:rFonts w:hint="eastAsia"/>
                <w:color w:val="000000"/>
                <w:sz w:val="18"/>
                <w:szCs w:val="18"/>
              </w:rPr>
              <w:t>小库房</w:t>
            </w:r>
          </w:p>
        </w:tc>
        <w:tc>
          <w:tcPr>
            <w:tcW w:w="1275" w:type="dxa"/>
            <w:vAlign w:val="center"/>
          </w:tcPr>
          <w:p>
            <w:pPr>
              <w:spacing w:line="300" w:lineRule="exact"/>
              <w:jc w:val="center"/>
              <w:rPr>
                <w:color w:val="000000"/>
                <w:sz w:val="18"/>
                <w:szCs w:val="18"/>
              </w:rPr>
            </w:pPr>
            <w:r>
              <w:rPr>
                <w:color w:val="000000"/>
                <w:sz w:val="18"/>
                <w:szCs w:val="18"/>
              </w:rPr>
              <w:t>19.73</w:t>
            </w:r>
          </w:p>
        </w:tc>
        <w:tc>
          <w:tcPr>
            <w:tcW w:w="1004" w:type="dxa"/>
            <w:vAlign w:val="center"/>
          </w:tcPr>
          <w:p>
            <w:pPr>
              <w:spacing w:line="300" w:lineRule="exact"/>
              <w:jc w:val="center"/>
              <w:rPr>
                <w:color w:val="000000"/>
                <w:sz w:val="18"/>
                <w:szCs w:val="18"/>
              </w:rPr>
            </w:pPr>
            <w:r>
              <w:rPr>
                <w:color w:val="000000"/>
                <w:sz w:val="18"/>
                <w:szCs w:val="18"/>
              </w:rPr>
              <w:t>/</w:t>
            </w:r>
          </w:p>
        </w:tc>
        <w:tc>
          <w:tcPr>
            <w:tcW w:w="1156" w:type="dxa"/>
            <w:vMerge w:val="continue"/>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759" w:type="dxa"/>
            <w:gridSpan w:val="3"/>
            <w:vAlign w:val="center"/>
          </w:tcPr>
          <w:p>
            <w:pPr>
              <w:spacing w:line="300" w:lineRule="exact"/>
              <w:jc w:val="center"/>
              <w:rPr>
                <w:b/>
                <w:color w:val="000000"/>
                <w:sz w:val="18"/>
                <w:szCs w:val="18"/>
              </w:rPr>
            </w:pPr>
            <w:r>
              <w:rPr>
                <w:rFonts w:hint="eastAsia"/>
                <w:b/>
                <w:color w:val="000000"/>
                <w:sz w:val="18"/>
                <w:szCs w:val="18"/>
              </w:rPr>
              <w:t>合计</w:t>
            </w:r>
          </w:p>
        </w:tc>
        <w:tc>
          <w:tcPr>
            <w:tcW w:w="1260" w:type="dxa"/>
            <w:vAlign w:val="center"/>
          </w:tcPr>
          <w:p>
            <w:pPr>
              <w:spacing w:line="300" w:lineRule="exact"/>
              <w:jc w:val="center"/>
              <w:rPr>
                <w:b/>
                <w:color w:val="000000"/>
                <w:sz w:val="18"/>
                <w:szCs w:val="18"/>
              </w:rPr>
            </w:pPr>
            <w:r>
              <w:rPr>
                <w:b/>
                <w:color w:val="000000"/>
                <w:sz w:val="18"/>
                <w:szCs w:val="18"/>
              </w:rPr>
              <w:t>/</w:t>
            </w:r>
          </w:p>
        </w:tc>
        <w:tc>
          <w:tcPr>
            <w:tcW w:w="1080" w:type="dxa"/>
            <w:vAlign w:val="center"/>
          </w:tcPr>
          <w:p>
            <w:pPr>
              <w:spacing w:line="300" w:lineRule="exact"/>
              <w:jc w:val="center"/>
              <w:rPr>
                <w:b/>
                <w:color w:val="000000"/>
                <w:sz w:val="18"/>
                <w:szCs w:val="18"/>
              </w:rPr>
            </w:pPr>
            <w:r>
              <w:rPr>
                <w:b/>
                <w:color w:val="000000"/>
                <w:sz w:val="18"/>
                <w:szCs w:val="18"/>
              </w:rPr>
              <w:t>/</w:t>
            </w:r>
          </w:p>
        </w:tc>
        <w:tc>
          <w:tcPr>
            <w:tcW w:w="1440" w:type="dxa"/>
            <w:vAlign w:val="center"/>
          </w:tcPr>
          <w:p>
            <w:pPr>
              <w:spacing w:line="300" w:lineRule="exact"/>
              <w:jc w:val="center"/>
              <w:rPr>
                <w:b/>
                <w:color w:val="000000"/>
                <w:sz w:val="18"/>
                <w:szCs w:val="18"/>
              </w:rPr>
            </w:pPr>
            <w:r>
              <w:rPr>
                <w:b/>
                <w:color w:val="000000"/>
                <w:sz w:val="18"/>
                <w:szCs w:val="18"/>
              </w:rPr>
              <w:t>/</w:t>
            </w:r>
          </w:p>
        </w:tc>
        <w:tc>
          <w:tcPr>
            <w:tcW w:w="1080" w:type="dxa"/>
            <w:vAlign w:val="center"/>
          </w:tcPr>
          <w:p>
            <w:pPr>
              <w:spacing w:line="300" w:lineRule="exact"/>
              <w:jc w:val="center"/>
              <w:rPr>
                <w:b/>
                <w:color w:val="000000"/>
                <w:sz w:val="18"/>
                <w:szCs w:val="18"/>
              </w:rPr>
            </w:pPr>
            <w:r>
              <w:rPr>
                <w:b/>
                <w:color w:val="000000"/>
                <w:sz w:val="18"/>
                <w:szCs w:val="18"/>
              </w:rPr>
              <w:t>/</w:t>
            </w:r>
          </w:p>
        </w:tc>
        <w:tc>
          <w:tcPr>
            <w:tcW w:w="1275" w:type="dxa"/>
            <w:vAlign w:val="center"/>
          </w:tcPr>
          <w:p>
            <w:pPr>
              <w:spacing w:line="300" w:lineRule="exact"/>
              <w:jc w:val="center"/>
              <w:rPr>
                <w:b/>
                <w:color w:val="000000"/>
                <w:sz w:val="18"/>
                <w:szCs w:val="18"/>
              </w:rPr>
            </w:pPr>
            <w:r>
              <w:rPr>
                <w:rFonts w:hint="eastAsia"/>
                <w:b/>
                <w:color w:val="000000"/>
                <w:sz w:val="18"/>
                <w:szCs w:val="18"/>
              </w:rPr>
              <w:t>土地面积</w:t>
            </w:r>
            <w:r>
              <w:rPr>
                <w:b/>
                <w:color w:val="000000"/>
                <w:sz w:val="18"/>
                <w:szCs w:val="18"/>
              </w:rPr>
              <w:t>21564.79</w:t>
            </w:r>
            <w:r>
              <w:rPr>
                <w:rFonts w:hint="eastAsia"/>
                <w:b/>
                <w:color w:val="000000"/>
                <w:sz w:val="18"/>
                <w:szCs w:val="18"/>
              </w:rPr>
              <w:t>㎡，总建筑面积</w:t>
            </w:r>
            <w:r>
              <w:rPr>
                <w:b/>
                <w:color w:val="000000"/>
                <w:sz w:val="18"/>
                <w:szCs w:val="18"/>
              </w:rPr>
              <w:fldChar w:fldCharType="begin"/>
            </w:r>
            <w:r>
              <w:rPr>
                <w:b/>
                <w:color w:val="000000"/>
                <w:sz w:val="18"/>
                <w:szCs w:val="18"/>
              </w:rPr>
              <w:instrText xml:space="preserve"> =SUM(ABOVE) </w:instrText>
            </w:r>
            <w:r>
              <w:rPr>
                <w:b/>
                <w:color w:val="000000"/>
                <w:sz w:val="18"/>
                <w:szCs w:val="18"/>
              </w:rPr>
              <w:fldChar w:fldCharType="separate"/>
            </w:r>
            <w:r>
              <w:rPr>
                <w:b/>
                <w:color w:val="000000"/>
                <w:sz w:val="18"/>
                <w:szCs w:val="18"/>
              </w:rPr>
              <w:t>31454.69</w:t>
            </w:r>
            <w:r>
              <w:rPr>
                <w:b/>
                <w:color w:val="000000"/>
                <w:sz w:val="18"/>
                <w:szCs w:val="18"/>
              </w:rPr>
              <w:fldChar w:fldCharType="end"/>
            </w:r>
            <w:r>
              <w:rPr>
                <w:rFonts w:hint="eastAsia"/>
                <w:b/>
                <w:color w:val="000000"/>
                <w:sz w:val="18"/>
                <w:szCs w:val="18"/>
              </w:rPr>
              <w:t>㎡</w:t>
            </w:r>
          </w:p>
        </w:tc>
        <w:tc>
          <w:tcPr>
            <w:tcW w:w="1004" w:type="dxa"/>
            <w:vAlign w:val="center"/>
          </w:tcPr>
          <w:p>
            <w:pPr>
              <w:spacing w:line="300" w:lineRule="exact"/>
              <w:jc w:val="center"/>
              <w:rPr>
                <w:b/>
                <w:color w:val="000000"/>
                <w:sz w:val="18"/>
                <w:szCs w:val="18"/>
              </w:rPr>
            </w:pPr>
            <w:r>
              <w:rPr>
                <w:b/>
                <w:color w:val="000000"/>
                <w:sz w:val="18"/>
                <w:szCs w:val="18"/>
              </w:rPr>
              <w:t>/</w:t>
            </w:r>
          </w:p>
        </w:tc>
        <w:tc>
          <w:tcPr>
            <w:tcW w:w="1156" w:type="dxa"/>
            <w:vAlign w:val="center"/>
          </w:tcPr>
          <w:p>
            <w:pPr>
              <w:spacing w:line="300" w:lineRule="exact"/>
              <w:jc w:val="center"/>
              <w:rPr>
                <w:b/>
                <w:color w:val="000000"/>
                <w:sz w:val="18"/>
                <w:szCs w:val="18"/>
              </w:rPr>
            </w:pPr>
            <w:r>
              <w:rPr>
                <w:b/>
                <w:color w:val="000000"/>
                <w:sz w:val="18"/>
                <w:szCs w:val="18"/>
              </w:rPr>
              <w:t>/</w:t>
            </w:r>
          </w:p>
        </w:tc>
      </w:tr>
    </w:tbl>
    <w:p>
      <w:pPr>
        <w:spacing w:line="500" w:lineRule="exact"/>
        <w:ind w:firstLine="460" w:firstLineChars="192"/>
        <w:rPr>
          <w:rFonts w:hAnsi="宋体"/>
          <w:color w:val="000000"/>
          <w:sz w:val="24"/>
        </w:rPr>
      </w:pPr>
      <w:r>
        <w:rPr>
          <w:rFonts w:hint="eastAsia" w:hAnsi="宋体"/>
          <w:color w:val="000000"/>
          <w:sz w:val="24"/>
        </w:rPr>
        <w:t>本次估价范围内估价对象实体状况及具体位置由申请人代理人及权利人代表现场共同指认确定，承诺无遗漏偏差，法院委托的辅拍公司工作人员进行了见证。故本次设定以实地查勘估价对象位置与权属证明资料一致为假设前提，且具有唯一性。</w:t>
      </w:r>
    </w:p>
    <w:p>
      <w:pPr>
        <w:pStyle w:val="85"/>
        <w:spacing w:line="500" w:lineRule="exact"/>
        <w:ind w:firstLine="480" w:firstLineChars="200"/>
        <w:rPr>
          <w:rFonts w:ascii="Times New Roman" w:hAnsi="宋体" w:eastAsia="宋体"/>
          <w:color w:val="000000"/>
          <w:sz w:val="24"/>
          <w:szCs w:val="24"/>
        </w:rPr>
      </w:pPr>
      <w:r>
        <w:rPr>
          <w:rFonts w:hint="eastAsia" w:ascii="Times New Roman" w:hAnsi="宋体" w:eastAsia="宋体"/>
          <w:color w:val="000000"/>
          <w:sz w:val="24"/>
          <w:szCs w:val="24"/>
        </w:rPr>
        <w:t>本次估价对象的土地使用权面积、用途、权利类型及房屋面积、用途、结构等信息以权利人成都中汇制药有限公司提供并经估价委托人认可采纳的蓉房权证成监字第</w:t>
      </w:r>
      <w:r>
        <w:rPr>
          <w:rFonts w:ascii="Times New Roman" w:hAnsi="宋体" w:eastAsia="宋体"/>
          <w:color w:val="000000"/>
          <w:sz w:val="24"/>
          <w:szCs w:val="24"/>
        </w:rPr>
        <w:t>0998455</w:t>
      </w:r>
      <w:r>
        <w:rPr>
          <w:rFonts w:hint="eastAsia" w:ascii="Times New Roman" w:hAnsi="宋体" w:eastAsia="宋体"/>
          <w:color w:val="000000"/>
          <w:sz w:val="24"/>
          <w:szCs w:val="24"/>
        </w:rPr>
        <w:t>号、成房权证监证字第</w:t>
      </w:r>
      <w:r>
        <w:rPr>
          <w:rFonts w:ascii="Times New Roman" w:hAnsi="宋体" w:eastAsia="宋体"/>
          <w:color w:val="000000"/>
          <w:sz w:val="24"/>
          <w:szCs w:val="24"/>
        </w:rPr>
        <w:t>2069860</w:t>
      </w:r>
      <w:r>
        <w:rPr>
          <w:rFonts w:hint="eastAsia" w:ascii="Times New Roman" w:hAnsi="宋体" w:eastAsia="宋体"/>
          <w:color w:val="000000"/>
          <w:sz w:val="24"/>
          <w:szCs w:val="24"/>
        </w:rPr>
        <w:t>、</w:t>
      </w:r>
      <w:r>
        <w:rPr>
          <w:rFonts w:ascii="Times New Roman" w:hAnsi="宋体" w:eastAsia="宋体"/>
          <w:color w:val="000000"/>
          <w:sz w:val="24"/>
          <w:szCs w:val="24"/>
        </w:rPr>
        <w:t>2069857</w:t>
      </w:r>
      <w:r>
        <w:rPr>
          <w:rFonts w:hint="eastAsia" w:ascii="Times New Roman" w:hAnsi="宋体" w:eastAsia="宋体"/>
          <w:color w:val="000000"/>
          <w:sz w:val="24"/>
          <w:szCs w:val="24"/>
        </w:rPr>
        <w:t>、</w:t>
      </w:r>
      <w:r>
        <w:rPr>
          <w:rFonts w:ascii="Times New Roman" w:hAnsi="宋体" w:eastAsia="宋体"/>
          <w:color w:val="000000"/>
          <w:sz w:val="24"/>
          <w:szCs w:val="24"/>
        </w:rPr>
        <w:t>2069856</w:t>
      </w:r>
      <w:r>
        <w:rPr>
          <w:rFonts w:hint="eastAsia" w:ascii="Times New Roman" w:hAnsi="宋体" w:eastAsia="宋体"/>
          <w:color w:val="000000"/>
          <w:sz w:val="24"/>
          <w:szCs w:val="24"/>
        </w:rPr>
        <w:t>号《房屋所有权证》、成国用（</w:t>
      </w:r>
      <w:r>
        <w:rPr>
          <w:rFonts w:ascii="Times New Roman" w:hAnsi="宋体" w:eastAsia="宋体"/>
          <w:color w:val="000000"/>
          <w:sz w:val="24"/>
          <w:szCs w:val="24"/>
        </w:rPr>
        <w:t>2005</w:t>
      </w:r>
      <w:r>
        <w:rPr>
          <w:rFonts w:hint="eastAsia" w:ascii="Times New Roman" w:hAnsi="宋体" w:eastAsia="宋体"/>
          <w:color w:val="000000"/>
          <w:sz w:val="24"/>
          <w:szCs w:val="24"/>
        </w:rPr>
        <w:t>）第</w:t>
      </w:r>
      <w:r>
        <w:rPr>
          <w:rFonts w:ascii="Times New Roman" w:hAnsi="宋体" w:eastAsia="宋体"/>
          <w:color w:val="000000"/>
          <w:sz w:val="24"/>
          <w:szCs w:val="24"/>
        </w:rPr>
        <w:t>866</w:t>
      </w:r>
      <w:r>
        <w:rPr>
          <w:rFonts w:hint="eastAsia" w:ascii="Times New Roman" w:hAnsi="宋体" w:eastAsia="宋体"/>
          <w:color w:val="000000"/>
          <w:sz w:val="24"/>
          <w:szCs w:val="24"/>
        </w:rPr>
        <w:t>号《国有土地使用证》记载内容为依据；地上无证建筑物的面积、结构、建成时间等数据及其他相关资料以权利人介绍及《房屋建筑面积测绘成果报告（建筑面积实测）》记载内容为依据（仅用于本次评估测算，不作为最终确权依据）。</w:t>
      </w:r>
    </w:p>
    <w:p>
      <w:pPr>
        <w:pStyle w:val="85"/>
        <w:spacing w:line="500" w:lineRule="exact"/>
        <w:ind w:firstLine="480" w:firstLineChars="200"/>
        <w:rPr>
          <w:rFonts w:ascii="Times New Roman" w:eastAsia="宋体"/>
          <w:snapToGrid w:val="0"/>
          <w:color w:val="000000"/>
          <w:spacing w:val="-2"/>
          <w:kern w:val="0"/>
          <w:sz w:val="24"/>
          <w:szCs w:val="24"/>
        </w:rPr>
      </w:pPr>
      <w:r>
        <w:rPr>
          <w:rFonts w:hint="eastAsia" w:ascii="Times New Roman" w:hAnsi="宋体" w:eastAsia="宋体"/>
          <w:color w:val="000000"/>
          <w:sz w:val="24"/>
          <w:szCs w:val="24"/>
        </w:rPr>
        <w:t>经权利人介绍和估价人员实地查勘，估价对象由权利人出租使用，实地查勘时园区内停放有机动车辆、部分室内有可移动的家具、设备等动产，经现场沟通，均不纳入此次估价范围。</w:t>
      </w:r>
    </w:p>
    <w:p>
      <w:pPr>
        <w:pStyle w:val="85"/>
        <w:spacing w:line="500" w:lineRule="exact"/>
        <w:ind w:firstLine="472" w:firstLineChars="200"/>
        <w:rPr>
          <w:rFonts w:ascii="Times New Roman" w:eastAsia="宋体"/>
          <w:snapToGrid w:val="0"/>
          <w:color w:val="000000"/>
          <w:spacing w:val="-2"/>
          <w:kern w:val="0"/>
          <w:sz w:val="24"/>
          <w:szCs w:val="24"/>
        </w:rPr>
      </w:pPr>
      <w:r>
        <w:rPr>
          <w:rFonts w:ascii="Times New Roman" w:eastAsia="宋体"/>
          <w:snapToGrid w:val="0"/>
          <w:color w:val="000000"/>
          <w:spacing w:val="-2"/>
          <w:kern w:val="0"/>
          <w:sz w:val="24"/>
          <w:szCs w:val="24"/>
        </w:rPr>
        <w:t>2</w:t>
      </w:r>
      <w:r>
        <w:rPr>
          <w:rFonts w:hint="eastAsia" w:ascii="Times New Roman" w:eastAsia="宋体"/>
          <w:snapToGrid w:val="0"/>
          <w:color w:val="000000"/>
          <w:spacing w:val="-2"/>
          <w:kern w:val="0"/>
          <w:sz w:val="24"/>
          <w:szCs w:val="24"/>
        </w:rPr>
        <w:t>、</w:t>
      </w:r>
      <w:r>
        <w:rPr>
          <w:rFonts w:hint="eastAsia" w:ascii="Times New Roman" w:eastAsia="宋体"/>
          <w:color w:val="000000"/>
          <w:sz w:val="24"/>
        </w:rPr>
        <w:t>实地查勘情况及估价范围的确定过程</w:t>
      </w:r>
    </w:p>
    <w:p>
      <w:pPr>
        <w:spacing w:line="500" w:lineRule="exact"/>
        <w:ind w:firstLine="460" w:firstLineChars="192"/>
        <w:rPr>
          <w:rFonts w:hAnsi="宋体"/>
          <w:color w:val="000000"/>
          <w:sz w:val="24"/>
        </w:rPr>
      </w:pPr>
      <w:r>
        <w:rPr>
          <w:rFonts w:hint="eastAsia" w:hAnsi="宋体"/>
          <w:color w:val="000000"/>
          <w:sz w:val="24"/>
        </w:rPr>
        <w:t>（</w:t>
      </w:r>
      <w:r>
        <w:rPr>
          <w:rFonts w:hAnsi="宋体"/>
          <w:color w:val="000000"/>
          <w:sz w:val="24"/>
        </w:rPr>
        <w:t>1</w:t>
      </w:r>
      <w:r>
        <w:rPr>
          <w:rFonts w:hint="eastAsia" w:hAnsi="宋体"/>
          <w:color w:val="000000"/>
          <w:sz w:val="24"/>
        </w:rPr>
        <w:t>）</w:t>
      </w:r>
      <w:r>
        <w:rPr>
          <w:rFonts w:hint="eastAsia"/>
          <w:color w:val="000000"/>
          <w:sz w:val="24"/>
        </w:rPr>
        <w:t>实地查勘情况</w:t>
      </w:r>
    </w:p>
    <w:p>
      <w:pPr>
        <w:spacing w:line="500" w:lineRule="exact"/>
        <w:ind w:firstLine="460" w:firstLineChars="192"/>
        <w:rPr>
          <w:rFonts w:hAnsi="宋体"/>
          <w:color w:val="000000"/>
          <w:sz w:val="24"/>
        </w:rPr>
      </w:pPr>
      <w:r>
        <w:rPr>
          <w:rFonts w:ascii="宋体" w:cs="宋体"/>
          <w:color w:val="000000"/>
          <w:sz w:val="24"/>
        </w:rPr>
        <w:t>2022</w:t>
      </w:r>
      <w:r>
        <w:rPr>
          <w:rFonts w:hint="eastAsia" w:ascii="宋体" w:cs="宋体"/>
          <w:color w:val="000000"/>
          <w:sz w:val="24"/>
        </w:rPr>
        <w:t>年</w:t>
      </w:r>
      <w:r>
        <w:rPr>
          <w:rFonts w:ascii="宋体" w:cs="宋体"/>
          <w:color w:val="000000"/>
          <w:sz w:val="24"/>
        </w:rPr>
        <w:t>04</w:t>
      </w:r>
      <w:r>
        <w:rPr>
          <w:rFonts w:hint="eastAsia" w:ascii="宋体" w:cs="宋体"/>
          <w:color w:val="000000"/>
          <w:sz w:val="24"/>
        </w:rPr>
        <w:t>月</w:t>
      </w:r>
      <w:r>
        <w:rPr>
          <w:rFonts w:ascii="宋体" w:cs="宋体"/>
          <w:color w:val="000000"/>
          <w:sz w:val="24"/>
        </w:rPr>
        <w:t>02</w:t>
      </w:r>
      <w:r>
        <w:rPr>
          <w:rFonts w:hint="eastAsia" w:ascii="宋体" w:cs="宋体"/>
          <w:color w:val="000000"/>
          <w:sz w:val="24"/>
        </w:rPr>
        <w:t>日，我公司估价师与申请人代理律师、辅拍公司工作人员以及被执行人工作人员共同对上述委托评估的房地产进行了实地查勘。对照被执行人提供且由估价委托人承办法官确认可采信的估价对象权属规划资料，委托书上记载的估价对象与同属于成都中汇制药有限公司所有的北侧另一宗地直接南北相邻，两宗地无明显分隔界线，现为“广和都市工业总部”和“广和汽车孵化园”，南侧临蜀西路的街道门牌号为“蜀西路</w:t>
      </w:r>
      <w:r>
        <w:rPr>
          <w:rFonts w:ascii="宋体" w:cs="宋体"/>
          <w:color w:val="000000"/>
          <w:sz w:val="24"/>
        </w:rPr>
        <w:t>30</w:t>
      </w:r>
      <w:r>
        <w:rPr>
          <w:rFonts w:hint="eastAsia" w:ascii="宋体" w:cs="宋体"/>
          <w:color w:val="000000"/>
          <w:sz w:val="24"/>
        </w:rPr>
        <w:t>号”，北侧临兴盛东路的街道门牌号为“兴盛东路</w:t>
      </w:r>
      <w:r>
        <w:rPr>
          <w:rFonts w:ascii="宋体" w:cs="宋体"/>
          <w:color w:val="000000"/>
          <w:sz w:val="24"/>
        </w:rPr>
        <w:t>111</w:t>
      </w:r>
      <w:r>
        <w:rPr>
          <w:rFonts w:hint="eastAsia" w:ascii="宋体" w:cs="宋体"/>
          <w:color w:val="000000"/>
          <w:sz w:val="24"/>
        </w:rPr>
        <w:t>号”；两宗地均取得了国有土地使用证，土地上均建成有建构筑物（部分建筑物已取得权证）。被执行人的工作人员现场进行了指界</w:t>
      </w:r>
      <w:r>
        <w:rPr>
          <w:rFonts w:hint="eastAsia" w:hAnsi="宋体"/>
          <w:color w:val="000000"/>
          <w:sz w:val="24"/>
        </w:rPr>
        <w:t>。其中：</w:t>
      </w:r>
    </w:p>
    <w:p>
      <w:pPr>
        <w:spacing w:line="500" w:lineRule="exact"/>
        <w:ind w:firstLine="460" w:firstLineChars="192"/>
        <w:rPr>
          <w:rFonts w:hAnsi="宋体"/>
          <w:color w:val="000000"/>
          <w:sz w:val="24"/>
        </w:rPr>
      </w:pPr>
      <w:r>
        <w:rPr>
          <w:rFonts w:hAnsi="宋体"/>
          <w:color w:val="000000"/>
          <w:sz w:val="24"/>
        </w:rPr>
        <w:fldChar w:fldCharType="begin"/>
      </w:r>
      <w:r>
        <w:rPr>
          <w:rFonts w:hAnsi="宋体"/>
          <w:color w:val="000000"/>
          <w:sz w:val="24"/>
        </w:rPr>
        <w:instrText xml:space="preserve"> = 1 \* GB3 </w:instrText>
      </w:r>
      <w:r>
        <w:rPr>
          <w:rFonts w:hAnsi="宋体"/>
          <w:color w:val="000000"/>
          <w:sz w:val="24"/>
        </w:rPr>
        <w:fldChar w:fldCharType="separate"/>
      </w:r>
      <w:r>
        <w:rPr>
          <w:rFonts w:hint="eastAsia" w:hAnsi="宋体"/>
          <w:color w:val="000000"/>
          <w:sz w:val="24"/>
        </w:rPr>
        <w:t>①</w:t>
      </w:r>
      <w:r>
        <w:rPr>
          <w:rFonts w:hAnsi="宋体"/>
          <w:color w:val="000000"/>
          <w:sz w:val="24"/>
        </w:rPr>
        <w:fldChar w:fldCharType="end"/>
      </w:r>
      <w:r>
        <w:rPr>
          <w:rFonts w:hint="eastAsia" w:hAnsi="宋体"/>
          <w:color w:val="000000"/>
          <w:sz w:val="24"/>
        </w:rPr>
        <w:t>【成国用（</w:t>
      </w:r>
      <w:r>
        <w:rPr>
          <w:rFonts w:hAnsi="宋体"/>
          <w:color w:val="000000"/>
          <w:sz w:val="24"/>
        </w:rPr>
        <w:t>2005</w:t>
      </w:r>
      <w:r>
        <w:rPr>
          <w:rFonts w:hint="eastAsia" w:hAnsi="宋体"/>
          <w:color w:val="000000"/>
          <w:sz w:val="24"/>
        </w:rPr>
        <w:t>）第</w:t>
      </w:r>
      <w:r>
        <w:rPr>
          <w:rFonts w:hAnsi="宋体"/>
          <w:color w:val="000000"/>
          <w:sz w:val="24"/>
        </w:rPr>
        <w:t>866</w:t>
      </w:r>
      <w:r>
        <w:rPr>
          <w:rFonts w:hint="eastAsia" w:hAnsi="宋体"/>
          <w:color w:val="000000"/>
          <w:sz w:val="24"/>
        </w:rPr>
        <w:t>号《国有土地使用证》】项下（简称</w:t>
      </w:r>
      <w:r>
        <w:rPr>
          <w:rFonts w:hAnsi="宋体"/>
          <w:color w:val="000000"/>
          <w:sz w:val="24"/>
        </w:rPr>
        <w:t>32</w:t>
      </w:r>
      <w:r>
        <w:rPr>
          <w:rFonts w:hint="eastAsia" w:hAnsi="宋体"/>
          <w:color w:val="000000"/>
          <w:sz w:val="24"/>
        </w:rPr>
        <w:t>亩土地）宗地上为</w:t>
      </w:r>
      <w:r>
        <w:rPr>
          <w:rFonts w:hAnsi="宋体"/>
          <w:color w:val="000000"/>
          <w:sz w:val="24"/>
        </w:rPr>
        <w:t>3</w:t>
      </w:r>
      <w:r>
        <w:rPr>
          <w:rFonts w:hint="eastAsia" w:hAnsi="宋体"/>
          <w:color w:val="000000"/>
          <w:sz w:val="24"/>
        </w:rPr>
        <w:t>栋已取得</w:t>
      </w:r>
      <w:r>
        <w:rPr>
          <w:rFonts w:hAnsi="宋体"/>
          <w:color w:val="000000"/>
          <w:sz w:val="24"/>
        </w:rPr>
        <w:t>4</w:t>
      </w:r>
      <w:r>
        <w:rPr>
          <w:rFonts w:hint="eastAsia" w:hAnsi="宋体"/>
          <w:color w:val="000000"/>
          <w:sz w:val="24"/>
        </w:rPr>
        <w:t>份《房屋所有权证》的房屋及</w:t>
      </w:r>
      <w:r>
        <w:rPr>
          <w:rFonts w:hAnsi="宋体"/>
          <w:color w:val="000000"/>
          <w:sz w:val="24"/>
        </w:rPr>
        <w:t>3</w:t>
      </w:r>
      <w:r>
        <w:rPr>
          <w:rFonts w:hint="eastAsia" w:hAnsi="宋体"/>
          <w:color w:val="000000"/>
          <w:sz w:val="24"/>
        </w:rPr>
        <w:t>栋无证房屋。有证建筑的证号分别为：</w:t>
      </w:r>
    </w:p>
    <w:p>
      <w:pPr>
        <w:spacing w:line="500" w:lineRule="exact"/>
        <w:ind w:firstLine="460" w:firstLineChars="192"/>
        <w:rPr>
          <w:rFonts w:hAnsi="宋体"/>
          <w:color w:val="000000"/>
          <w:sz w:val="24"/>
        </w:rPr>
      </w:pPr>
      <w:r>
        <w:rPr>
          <w:rFonts w:hint="eastAsia" w:hAnsi="宋体"/>
          <w:color w:val="000000"/>
          <w:sz w:val="24"/>
        </w:rPr>
        <w:t>“成房权证监证字第</w:t>
      </w:r>
      <w:r>
        <w:rPr>
          <w:rFonts w:hAnsi="宋体"/>
          <w:color w:val="000000"/>
          <w:sz w:val="24"/>
        </w:rPr>
        <w:t>2069857</w:t>
      </w:r>
      <w:r>
        <w:rPr>
          <w:rFonts w:hint="eastAsia" w:hAnsi="宋体"/>
          <w:color w:val="000000"/>
          <w:sz w:val="24"/>
        </w:rPr>
        <w:t>、</w:t>
      </w:r>
      <w:r>
        <w:rPr>
          <w:rFonts w:hAnsi="宋体"/>
          <w:color w:val="000000"/>
          <w:sz w:val="24"/>
        </w:rPr>
        <w:t>2069860</w:t>
      </w:r>
      <w:r>
        <w:rPr>
          <w:rFonts w:hint="eastAsia" w:hAnsi="宋体"/>
          <w:color w:val="000000"/>
          <w:sz w:val="24"/>
        </w:rPr>
        <w:t>号，房屋登记用途均为工厂，实际用途为</w:t>
      </w:r>
      <w:r>
        <w:rPr>
          <w:rFonts w:hAnsi="宋体"/>
          <w:color w:val="000000"/>
          <w:sz w:val="24"/>
        </w:rPr>
        <w:t>1</w:t>
      </w:r>
      <w:r>
        <w:rPr>
          <w:rFonts w:hint="eastAsia" w:hAnsi="宋体"/>
          <w:color w:val="000000"/>
          <w:sz w:val="24"/>
        </w:rPr>
        <w:t>层汽车销售展厅、</w:t>
      </w:r>
      <w:r>
        <w:rPr>
          <w:rFonts w:hAnsi="宋体"/>
          <w:color w:val="000000"/>
          <w:sz w:val="24"/>
        </w:rPr>
        <w:t>2</w:t>
      </w:r>
      <w:r>
        <w:rPr>
          <w:rFonts w:hint="eastAsia" w:hAnsi="宋体"/>
          <w:color w:val="000000"/>
          <w:sz w:val="24"/>
        </w:rPr>
        <w:t>层空置、</w:t>
      </w:r>
      <w:r>
        <w:rPr>
          <w:rFonts w:hAnsi="宋体"/>
          <w:color w:val="000000"/>
          <w:sz w:val="24"/>
        </w:rPr>
        <w:t>3</w:t>
      </w:r>
      <w:r>
        <w:rPr>
          <w:rFonts w:hint="eastAsia" w:hAnsi="宋体"/>
          <w:color w:val="000000"/>
          <w:sz w:val="24"/>
        </w:rPr>
        <w:t>层办公”；</w:t>
      </w:r>
    </w:p>
    <w:p>
      <w:pPr>
        <w:spacing w:line="500" w:lineRule="exact"/>
        <w:ind w:firstLine="460" w:firstLineChars="192"/>
        <w:rPr>
          <w:rFonts w:hAnsi="宋体"/>
          <w:color w:val="000000"/>
          <w:sz w:val="24"/>
        </w:rPr>
      </w:pPr>
      <w:r>
        <w:rPr>
          <w:rFonts w:hint="eastAsia" w:hAnsi="宋体"/>
          <w:color w:val="000000"/>
          <w:sz w:val="24"/>
        </w:rPr>
        <w:t>“蓉房权证成房监证字第</w:t>
      </w:r>
      <w:r>
        <w:rPr>
          <w:rFonts w:hAnsi="宋体"/>
          <w:color w:val="000000"/>
          <w:sz w:val="24"/>
        </w:rPr>
        <w:t>0998455</w:t>
      </w:r>
      <w:r>
        <w:rPr>
          <w:rFonts w:hint="eastAsia" w:hAnsi="宋体"/>
          <w:color w:val="000000"/>
          <w:sz w:val="24"/>
        </w:rPr>
        <w:t>号，房屋登记用途为教育、办公，实际用途为办公”；</w:t>
      </w:r>
    </w:p>
    <w:p>
      <w:pPr>
        <w:spacing w:line="500" w:lineRule="exact"/>
        <w:ind w:firstLine="460" w:firstLineChars="192"/>
        <w:rPr>
          <w:rFonts w:hAnsi="宋体"/>
          <w:color w:val="000000"/>
          <w:sz w:val="24"/>
        </w:rPr>
      </w:pPr>
      <w:r>
        <w:rPr>
          <w:rFonts w:hint="eastAsia" w:hAnsi="宋体"/>
          <w:color w:val="000000"/>
          <w:sz w:val="24"/>
        </w:rPr>
        <w:t>“成房权证监证字第</w:t>
      </w:r>
      <w:r>
        <w:rPr>
          <w:rFonts w:hAnsi="宋体"/>
          <w:color w:val="000000"/>
          <w:sz w:val="24"/>
        </w:rPr>
        <w:t>2069856</w:t>
      </w:r>
      <w:r>
        <w:rPr>
          <w:rFonts w:hint="eastAsia" w:hAnsi="宋体"/>
          <w:color w:val="000000"/>
          <w:sz w:val="24"/>
        </w:rPr>
        <w:t>号，房屋登记用途为其它、住宅，实际用途为</w:t>
      </w:r>
      <w:r>
        <w:rPr>
          <w:rFonts w:hAnsi="宋体"/>
          <w:color w:val="000000"/>
          <w:sz w:val="24"/>
        </w:rPr>
        <w:t>1</w:t>
      </w:r>
      <w:r>
        <w:rPr>
          <w:rFonts w:hint="eastAsia" w:hAnsi="宋体"/>
          <w:color w:val="000000"/>
          <w:sz w:val="24"/>
        </w:rPr>
        <w:t>层展厅、</w:t>
      </w:r>
      <w:r>
        <w:rPr>
          <w:rFonts w:hAnsi="宋体"/>
          <w:color w:val="000000"/>
          <w:sz w:val="24"/>
        </w:rPr>
        <w:t>2-3</w:t>
      </w:r>
      <w:r>
        <w:rPr>
          <w:rFonts w:hint="eastAsia" w:hAnsi="宋体"/>
          <w:color w:val="000000"/>
          <w:sz w:val="24"/>
        </w:rPr>
        <w:t>层办公、</w:t>
      </w:r>
      <w:r>
        <w:rPr>
          <w:rFonts w:hAnsi="宋体"/>
          <w:color w:val="000000"/>
          <w:sz w:val="24"/>
        </w:rPr>
        <w:t>4-6</w:t>
      </w:r>
      <w:r>
        <w:rPr>
          <w:rFonts w:hint="eastAsia" w:hAnsi="宋体"/>
          <w:color w:val="000000"/>
          <w:sz w:val="24"/>
        </w:rPr>
        <w:t>层空置”。</w:t>
      </w:r>
    </w:p>
    <w:p>
      <w:pPr>
        <w:spacing w:line="500" w:lineRule="exact"/>
        <w:ind w:firstLine="460" w:firstLineChars="192"/>
        <w:rPr>
          <w:rFonts w:hAnsi="宋体"/>
          <w:color w:val="000000"/>
          <w:sz w:val="24"/>
        </w:rPr>
      </w:pPr>
      <w:r>
        <w:rPr>
          <w:rFonts w:hAnsi="宋体"/>
          <w:color w:val="000000"/>
          <w:sz w:val="24"/>
        </w:rPr>
        <w:fldChar w:fldCharType="begin"/>
      </w:r>
      <w:r>
        <w:rPr>
          <w:rFonts w:hAnsi="宋体"/>
          <w:color w:val="000000"/>
          <w:sz w:val="24"/>
        </w:rPr>
        <w:instrText xml:space="preserve"> = 2 \* GB3 </w:instrText>
      </w:r>
      <w:r>
        <w:rPr>
          <w:rFonts w:hAnsi="宋体"/>
          <w:color w:val="000000"/>
          <w:sz w:val="24"/>
        </w:rPr>
        <w:fldChar w:fldCharType="separate"/>
      </w:r>
      <w:r>
        <w:rPr>
          <w:rFonts w:hint="eastAsia" w:hAnsi="宋体"/>
          <w:color w:val="000000"/>
          <w:sz w:val="24"/>
        </w:rPr>
        <w:t>②</w:t>
      </w:r>
      <w:r>
        <w:rPr>
          <w:rFonts w:hAnsi="宋体"/>
          <w:color w:val="000000"/>
          <w:sz w:val="24"/>
        </w:rPr>
        <w:fldChar w:fldCharType="end"/>
      </w:r>
      <w:r>
        <w:rPr>
          <w:rFonts w:hint="eastAsia" w:hAnsi="宋体"/>
          <w:color w:val="000000"/>
          <w:sz w:val="24"/>
        </w:rPr>
        <w:t>【成国用（</w:t>
      </w:r>
      <w:r>
        <w:rPr>
          <w:rFonts w:hAnsi="宋体"/>
          <w:color w:val="000000"/>
          <w:sz w:val="24"/>
        </w:rPr>
        <w:t>2007</w:t>
      </w:r>
      <w:r>
        <w:rPr>
          <w:rFonts w:hint="eastAsia" w:hAnsi="宋体"/>
          <w:color w:val="000000"/>
          <w:sz w:val="24"/>
        </w:rPr>
        <w:t>）第</w:t>
      </w:r>
      <w:r>
        <w:rPr>
          <w:rFonts w:hAnsi="宋体"/>
          <w:color w:val="000000"/>
          <w:sz w:val="24"/>
        </w:rPr>
        <w:t>895</w:t>
      </w:r>
      <w:r>
        <w:rPr>
          <w:rFonts w:hint="eastAsia" w:hAnsi="宋体"/>
          <w:color w:val="000000"/>
          <w:sz w:val="24"/>
        </w:rPr>
        <w:t>号《国有土地使用证》】项下（简称</w:t>
      </w:r>
      <w:r>
        <w:rPr>
          <w:rFonts w:hAnsi="宋体"/>
          <w:color w:val="000000"/>
          <w:sz w:val="24"/>
        </w:rPr>
        <w:t>52</w:t>
      </w:r>
      <w:r>
        <w:rPr>
          <w:rFonts w:hint="eastAsia" w:hAnsi="宋体"/>
          <w:color w:val="000000"/>
          <w:sz w:val="24"/>
        </w:rPr>
        <w:t>亩土地）宗地上房屋均未取得《房屋所有权证》，仅</w:t>
      </w:r>
      <w:r>
        <w:rPr>
          <w:rFonts w:hAnsi="宋体"/>
          <w:color w:val="000000"/>
          <w:sz w:val="24"/>
        </w:rPr>
        <w:t>1</w:t>
      </w:r>
      <w:r>
        <w:rPr>
          <w:rFonts w:hint="eastAsia" w:hAnsi="宋体"/>
          <w:color w:val="000000"/>
          <w:sz w:val="24"/>
        </w:rPr>
        <w:t>栋</w:t>
      </w:r>
      <w:r>
        <w:rPr>
          <w:rFonts w:hAnsi="宋体"/>
          <w:color w:val="000000"/>
          <w:sz w:val="24"/>
        </w:rPr>
        <w:t>9300</w:t>
      </w:r>
      <w:r>
        <w:rPr>
          <w:rFonts w:hint="eastAsia" w:hAnsi="宋体"/>
          <w:color w:val="000000"/>
          <w:sz w:val="24"/>
        </w:rPr>
        <w:t>余㎡的钢结构厂房取得《成都市规划管理局建设工程规划许可证》，批准的建设面积为</w:t>
      </w:r>
      <w:r>
        <w:rPr>
          <w:rFonts w:hAnsi="宋体"/>
          <w:color w:val="000000"/>
          <w:sz w:val="24"/>
        </w:rPr>
        <w:t>9354.70</w:t>
      </w:r>
      <w:r>
        <w:rPr>
          <w:rFonts w:hint="eastAsia" w:hAnsi="宋体"/>
          <w:color w:val="000000"/>
          <w:sz w:val="24"/>
        </w:rPr>
        <w:t>㎡，</w:t>
      </w:r>
      <w:r>
        <w:rPr>
          <w:rFonts w:hAnsi="宋体"/>
          <w:color w:val="000000"/>
          <w:sz w:val="24"/>
        </w:rPr>
        <w:t>1-2</w:t>
      </w:r>
      <w:r>
        <w:rPr>
          <w:rFonts w:hint="eastAsia" w:hAnsi="宋体"/>
          <w:color w:val="000000"/>
          <w:sz w:val="24"/>
        </w:rPr>
        <w:t>层实际用途均为经营及办公。该宗地上还有多栋未取得权证及相关规划许可的无证建筑，宗地内大部分空地现作为经营配套停车场及商业充电桩等。</w:t>
      </w:r>
    </w:p>
    <w:p>
      <w:pPr>
        <w:pStyle w:val="85"/>
        <w:spacing w:line="500" w:lineRule="exact"/>
        <w:ind w:firstLine="472" w:firstLineChars="200"/>
        <w:rPr>
          <w:rFonts w:ascii="Times New Roman" w:eastAsia="宋体"/>
          <w:snapToGrid w:val="0"/>
          <w:color w:val="000000"/>
          <w:spacing w:val="-2"/>
          <w:kern w:val="0"/>
          <w:sz w:val="24"/>
          <w:szCs w:val="24"/>
        </w:rPr>
      </w:pPr>
      <w:r>
        <w:rPr>
          <w:rFonts w:hint="eastAsia" w:ascii="Times New Roman" w:eastAsia="宋体"/>
          <w:snapToGrid w:val="0"/>
          <w:color w:val="000000"/>
          <w:spacing w:val="-2"/>
          <w:kern w:val="0"/>
          <w:sz w:val="24"/>
          <w:szCs w:val="24"/>
        </w:rPr>
        <w:t>（</w:t>
      </w:r>
      <w:r>
        <w:rPr>
          <w:rFonts w:ascii="Times New Roman" w:eastAsia="宋体"/>
          <w:snapToGrid w:val="0"/>
          <w:color w:val="000000"/>
          <w:spacing w:val="-2"/>
          <w:kern w:val="0"/>
          <w:sz w:val="24"/>
          <w:szCs w:val="24"/>
        </w:rPr>
        <w:t>2</w:t>
      </w:r>
      <w:r>
        <w:rPr>
          <w:rFonts w:hint="eastAsia" w:ascii="Times New Roman" w:eastAsia="宋体"/>
          <w:snapToGrid w:val="0"/>
          <w:color w:val="000000"/>
          <w:spacing w:val="-2"/>
          <w:kern w:val="0"/>
          <w:sz w:val="24"/>
          <w:szCs w:val="24"/>
        </w:rPr>
        <w:t>）确定本估价报告对应的估价范围</w:t>
      </w:r>
    </w:p>
    <w:p>
      <w:pPr>
        <w:spacing w:line="500" w:lineRule="exact"/>
        <w:ind w:firstLine="460" w:firstLineChars="192"/>
        <w:rPr>
          <w:rFonts w:hAnsi="宋体"/>
          <w:color w:val="000000"/>
          <w:sz w:val="24"/>
        </w:rPr>
      </w:pPr>
      <w:r>
        <w:rPr>
          <w:rFonts w:hint="eastAsia" w:hAnsi="宋体"/>
          <w:color w:val="000000"/>
          <w:sz w:val="24"/>
        </w:rPr>
        <w:t>结合</w:t>
      </w:r>
      <w:r>
        <w:rPr>
          <w:rFonts w:hAnsi="宋体"/>
          <w:color w:val="000000"/>
          <w:sz w:val="24"/>
        </w:rPr>
        <w:t>2022</w:t>
      </w:r>
      <w:r>
        <w:rPr>
          <w:rFonts w:hint="eastAsia" w:hAnsi="宋体"/>
          <w:color w:val="000000"/>
          <w:sz w:val="24"/>
        </w:rPr>
        <w:t>年</w:t>
      </w:r>
      <w:r>
        <w:rPr>
          <w:rFonts w:hAnsi="宋体"/>
          <w:color w:val="000000"/>
          <w:sz w:val="24"/>
        </w:rPr>
        <w:t>04</w:t>
      </w:r>
      <w:r>
        <w:rPr>
          <w:rFonts w:hint="eastAsia" w:hAnsi="宋体"/>
          <w:color w:val="000000"/>
          <w:sz w:val="24"/>
        </w:rPr>
        <w:t>月</w:t>
      </w:r>
      <w:r>
        <w:rPr>
          <w:rFonts w:hAnsi="宋体"/>
          <w:color w:val="000000"/>
          <w:sz w:val="24"/>
        </w:rPr>
        <w:t>02</w:t>
      </w:r>
      <w:r>
        <w:rPr>
          <w:rFonts w:hint="eastAsia" w:hAnsi="宋体"/>
          <w:color w:val="000000"/>
          <w:sz w:val="24"/>
        </w:rPr>
        <w:t>日的实地查勘情况，我公司于</w:t>
      </w:r>
      <w:r>
        <w:rPr>
          <w:rFonts w:hAnsi="宋体"/>
          <w:color w:val="000000"/>
          <w:sz w:val="24"/>
        </w:rPr>
        <w:t>2022</w:t>
      </w:r>
      <w:r>
        <w:rPr>
          <w:rFonts w:hint="eastAsia" w:hAnsi="宋体"/>
          <w:color w:val="000000"/>
          <w:sz w:val="24"/>
        </w:rPr>
        <w:t>年</w:t>
      </w:r>
      <w:r>
        <w:rPr>
          <w:rFonts w:hAnsi="宋体"/>
          <w:color w:val="000000"/>
          <w:sz w:val="24"/>
        </w:rPr>
        <w:t>04</w:t>
      </w:r>
      <w:r>
        <w:rPr>
          <w:rFonts w:hint="eastAsia" w:hAnsi="宋体"/>
          <w:color w:val="000000"/>
          <w:sz w:val="24"/>
        </w:rPr>
        <w:t>月</w:t>
      </w:r>
      <w:r>
        <w:rPr>
          <w:rFonts w:hAnsi="宋体"/>
          <w:color w:val="000000"/>
          <w:sz w:val="24"/>
        </w:rPr>
        <w:t>07</w:t>
      </w:r>
      <w:r>
        <w:rPr>
          <w:rFonts w:hint="eastAsia" w:hAnsi="宋体"/>
          <w:color w:val="000000"/>
          <w:sz w:val="24"/>
        </w:rPr>
        <w:t>日向四川省成都市中级人民法院发送书面请示函并表达了评估的设定方案，虽没收到书面回复，但经与承办法官沟通，明确了应将宗地内无证建筑纳入估价范围，本案当事人也委托了具备资质的第三方测绘机构对估价对象两宗地内所有房屋及经营性配套场地进行面积测绘，出具了测绘报告。</w:t>
      </w:r>
    </w:p>
    <w:p>
      <w:pPr>
        <w:spacing w:line="500" w:lineRule="exact"/>
        <w:ind w:firstLine="460" w:firstLineChars="192"/>
        <w:rPr>
          <w:rFonts w:hAnsi="宋体"/>
          <w:color w:val="000000"/>
          <w:sz w:val="24"/>
        </w:rPr>
      </w:pPr>
      <w:r>
        <w:rPr>
          <w:rFonts w:hAnsi="宋体"/>
          <w:color w:val="000000"/>
          <w:sz w:val="24"/>
        </w:rPr>
        <w:t>2022</w:t>
      </w:r>
      <w:r>
        <w:rPr>
          <w:rFonts w:hint="eastAsia" w:hAnsi="宋体"/>
          <w:color w:val="000000"/>
          <w:sz w:val="24"/>
        </w:rPr>
        <w:t>年</w:t>
      </w:r>
      <w:r>
        <w:rPr>
          <w:rFonts w:hAnsi="宋体"/>
          <w:color w:val="000000"/>
          <w:sz w:val="24"/>
        </w:rPr>
        <w:t>04</w:t>
      </w:r>
      <w:r>
        <w:rPr>
          <w:rFonts w:hint="eastAsia" w:hAnsi="宋体"/>
          <w:color w:val="000000"/>
          <w:sz w:val="24"/>
        </w:rPr>
        <w:t>月</w:t>
      </w:r>
      <w:r>
        <w:rPr>
          <w:rFonts w:hAnsi="宋体"/>
          <w:color w:val="000000"/>
          <w:sz w:val="24"/>
        </w:rPr>
        <w:t>14</w:t>
      </w:r>
      <w:r>
        <w:rPr>
          <w:rFonts w:hint="eastAsia" w:hAnsi="宋体"/>
          <w:color w:val="000000"/>
          <w:sz w:val="24"/>
        </w:rPr>
        <w:t>日，我公司收到经贵院许可采纳的【《房屋建筑面积测绘成果报告（建筑面积实测）》成勘测</w:t>
      </w:r>
      <w:r>
        <w:rPr>
          <w:rFonts w:hAnsi="宋体"/>
          <w:color w:val="000000"/>
          <w:sz w:val="24"/>
        </w:rPr>
        <w:t>S2022-12466-1</w:t>
      </w:r>
      <w:r>
        <w:rPr>
          <w:rFonts w:hint="eastAsia" w:hAnsi="宋体"/>
          <w:color w:val="000000"/>
          <w:sz w:val="24"/>
        </w:rPr>
        <w:t>】。经对比测绘面积数据后发现，本次测绘建筑面积与权利人提供的估价对象各栋房屋的《房屋所有权证》记载建筑面积存在差异。</w:t>
      </w:r>
    </w:p>
    <w:p>
      <w:pPr>
        <w:spacing w:line="500" w:lineRule="exact"/>
        <w:ind w:firstLine="460" w:firstLineChars="192"/>
        <w:rPr>
          <w:rFonts w:hAnsi="宋体"/>
          <w:color w:val="000000"/>
          <w:sz w:val="24"/>
        </w:rPr>
      </w:pPr>
      <w:r>
        <w:rPr>
          <w:rFonts w:hint="eastAsia" w:hAnsi="宋体"/>
          <w:color w:val="000000"/>
          <w:sz w:val="24"/>
        </w:rPr>
        <w:t>由于评估委托书未对实际面积与登记面积不一致的处理方式进行书面明确。根据《涉执房地产处置司法评估指导意见（试行）》【中房学〔</w:t>
      </w:r>
      <w:r>
        <w:rPr>
          <w:rFonts w:hAnsi="宋体"/>
          <w:color w:val="000000"/>
          <w:sz w:val="24"/>
        </w:rPr>
        <w:t>2021</w:t>
      </w:r>
      <w:r>
        <w:rPr>
          <w:rFonts w:hint="eastAsia" w:hAnsi="宋体"/>
          <w:color w:val="000000"/>
          <w:sz w:val="24"/>
        </w:rPr>
        <w:t>〕</w:t>
      </w:r>
      <w:r>
        <w:rPr>
          <w:rFonts w:hAnsi="宋体"/>
          <w:color w:val="000000"/>
          <w:sz w:val="24"/>
        </w:rPr>
        <w:t>37</w:t>
      </w:r>
      <w:r>
        <w:rPr>
          <w:rFonts w:hint="eastAsia" w:hAnsi="宋体"/>
          <w:color w:val="000000"/>
          <w:sz w:val="24"/>
        </w:rPr>
        <w:t>号】“第十九条</w:t>
      </w:r>
      <w:r>
        <w:rPr>
          <w:rFonts w:hAnsi="宋体"/>
          <w:color w:val="000000"/>
          <w:sz w:val="24"/>
        </w:rPr>
        <w:t xml:space="preserve"> </w:t>
      </w:r>
      <w:r>
        <w:rPr>
          <w:rFonts w:hint="eastAsia" w:hAnsi="宋体"/>
          <w:color w:val="000000"/>
          <w:sz w:val="24"/>
        </w:rPr>
        <w:t>第三款</w:t>
      </w:r>
      <w:r>
        <w:rPr>
          <w:rFonts w:hAnsi="宋体"/>
          <w:color w:val="000000"/>
          <w:sz w:val="24"/>
        </w:rPr>
        <w:t xml:space="preserve"> </w:t>
      </w:r>
      <w:r>
        <w:rPr>
          <w:rFonts w:hint="eastAsia" w:hAnsi="宋体"/>
          <w:color w:val="000000"/>
          <w:sz w:val="24"/>
        </w:rPr>
        <w:t>实际面积与登记面积不一致的，应当根据人民法院书面明确的面积评估。我们将该事项与当事人双方说明并沟通，双方均一致接受“有权证的按证载面积进行评估，无权证建筑按测绘面积设定可以合理、持续使用进行评估”。估价委托人也未对上述评估设定处理方式提出书面异议，故我们在本次评估中的处理方式为：有证建筑的建筑面积以证载数据为测算依据，无证建筑的建筑面积以《房屋建筑面积测绘成果报告（建筑面积实测）》成勘测</w:t>
      </w:r>
      <w:r>
        <w:rPr>
          <w:rFonts w:hAnsi="宋体"/>
          <w:color w:val="000000"/>
          <w:sz w:val="24"/>
        </w:rPr>
        <w:t>S2022-12466-1</w:t>
      </w:r>
      <w:r>
        <w:rPr>
          <w:rFonts w:hint="eastAsia" w:hAnsi="宋体"/>
          <w:color w:val="000000"/>
          <w:sz w:val="24"/>
        </w:rPr>
        <w:t>记载数据为测算依据，并在估价报告中进行披露和说明。该数据仅为本次评估测算需要，而不能当然视同作为确权依据。</w:t>
      </w:r>
    </w:p>
    <w:p>
      <w:pPr>
        <w:spacing w:line="500" w:lineRule="exact"/>
        <w:ind w:firstLine="460" w:firstLineChars="192"/>
        <w:rPr>
          <w:rFonts w:hAnsi="宋体"/>
          <w:color w:val="000000"/>
          <w:sz w:val="24"/>
        </w:rPr>
      </w:pPr>
      <w:r>
        <w:rPr>
          <w:rFonts w:hint="eastAsia" w:hAnsi="宋体"/>
          <w:color w:val="000000"/>
          <w:sz w:val="24"/>
        </w:rPr>
        <w:t>故据委托书，本次仅对南侧</w:t>
      </w:r>
      <w:r>
        <w:rPr>
          <w:rFonts w:hAnsi="宋体"/>
          <w:color w:val="000000"/>
          <w:sz w:val="24"/>
        </w:rPr>
        <w:t>32</w:t>
      </w:r>
      <w:r>
        <w:rPr>
          <w:rFonts w:hint="eastAsia" w:hAnsi="宋体"/>
          <w:color w:val="000000"/>
          <w:sz w:val="24"/>
        </w:rPr>
        <w:t>亩宗地及地上建筑物进行市场价值评估。未考虑两宗地毗邻所带来的增值或减值效应。</w:t>
      </w:r>
    </w:p>
    <w:bookmarkEnd w:id="0"/>
    <w:p>
      <w:pPr>
        <w:spacing w:line="500" w:lineRule="exact"/>
        <w:ind w:firstLine="460" w:firstLineChars="192"/>
        <w:rPr>
          <w:rFonts w:hAnsi="宋体"/>
          <w:color w:val="000000"/>
          <w:sz w:val="24"/>
        </w:rPr>
      </w:pPr>
      <w:r>
        <w:rPr>
          <w:rFonts w:hint="eastAsia" w:hAnsi="宋体"/>
          <w:color w:val="000000"/>
          <w:sz w:val="24"/>
        </w:rPr>
        <w:t>实看估价对象宗地内有多种动产，因委托书未记载要求评估，经现场沟通不纳入估价范围，故本次估价范围不含宗地内可移动的动产。</w:t>
      </w:r>
    </w:p>
    <w:p>
      <w:pPr>
        <w:pStyle w:val="5"/>
        <w:spacing w:line="500" w:lineRule="exact"/>
        <w:ind w:left="418" w:leftChars="199" w:firstLine="0"/>
        <w:outlineLvl w:val="0"/>
        <w:rPr>
          <w:rFonts w:ascii="宋体"/>
          <w:b/>
          <w:color w:val="000000"/>
          <w:sz w:val="24"/>
        </w:rPr>
      </w:pPr>
      <w:r>
        <w:rPr>
          <w:rFonts w:hint="eastAsia" w:ascii="宋体"/>
          <w:b/>
          <w:color w:val="000000"/>
          <w:sz w:val="24"/>
        </w:rPr>
        <w:t>（二）估价对象权益状况</w:t>
      </w:r>
    </w:p>
    <w:p>
      <w:pPr>
        <w:spacing w:line="500" w:lineRule="exact"/>
        <w:ind w:firstLine="470" w:firstLineChars="196"/>
        <w:rPr>
          <w:rFonts w:ascii="宋体"/>
          <w:color w:val="000000"/>
          <w:sz w:val="24"/>
        </w:rPr>
      </w:pPr>
      <w:r>
        <w:rPr>
          <w:rFonts w:ascii="宋体" w:hAnsi="宋体"/>
          <w:color w:val="000000"/>
          <w:sz w:val="24"/>
        </w:rPr>
        <w:t>1</w:t>
      </w:r>
      <w:r>
        <w:rPr>
          <w:rFonts w:hint="eastAsia" w:ascii="宋体" w:hAnsi="宋体"/>
          <w:color w:val="000000"/>
          <w:sz w:val="24"/>
        </w:rPr>
        <w:t>、权益状况描述</w:t>
      </w:r>
    </w:p>
    <w:p>
      <w:pPr>
        <w:pStyle w:val="85"/>
        <w:spacing w:line="500" w:lineRule="exact"/>
        <w:ind w:firstLine="480" w:firstLineChars="200"/>
        <w:rPr>
          <w:rFonts w:ascii="宋体" w:hAnsi="宋体" w:eastAsia="宋体" w:cs="宋体"/>
          <w:color w:val="000000"/>
          <w:sz w:val="24"/>
          <w:lang w:val="zh-CN"/>
        </w:rPr>
      </w:pPr>
      <w:r>
        <w:rPr>
          <w:rFonts w:hint="eastAsia" w:ascii="Times New Roman" w:hAnsi="宋体" w:eastAsia="宋体"/>
          <w:color w:val="000000"/>
          <w:sz w:val="24"/>
          <w:szCs w:val="24"/>
        </w:rPr>
        <w:t>本次估价对象为成都中汇制药有限公司所有的位于成都市金牛区金牛乡高家村</w:t>
      </w:r>
      <w:r>
        <w:rPr>
          <w:rFonts w:ascii="Times New Roman" w:hAnsi="宋体" w:eastAsia="宋体"/>
          <w:color w:val="000000"/>
          <w:sz w:val="24"/>
          <w:szCs w:val="24"/>
        </w:rPr>
        <w:t>7</w:t>
      </w:r>
      <w:r>
        <w:rPr>
          <w:rFonts w:hint="eastAsia" w:ascii="Times New Roman" w:hAnsi="宋体" w:eastAsia="宋体"/>
          <w:color w:val="000000"/>
          <w:sz w:val="24"/>
          <w:szCs w:val="24"/>
        </w:rPr>
        <w:t>、</w:t>
      </w:r>
      <w:r>
        <w:rPr>
          <w:rFonts w:ascii="Times New Roman" w:hAnsi="宋体" w:eastAsia="宋体"/>
          <w:color w:val="000000"/>
          <w:sz w:val="24"/>
          <w:szCs w:val="24"/>
        </w:rPr>
        <w:t>8</w:t>
      </w:r>
      <w:r>
        <w:rPr>
          <w:rFonts w:hint="eastAsia" w:ascii="Times New Roman" w:hAnsi="宋体" w:eastAsia="宋体"/>
          <w:color w:val="000000"/>
          <w:sz w:val="24"/>
          <w:szCs w:val="24"/>
        </w:rPr>
        <w:t>组土地使用权【成国用（</w:t>
      </w:r>
      <w:r>
        <w:rPr>
          <w:rFonts w:ascii="Times New Roman" w:hAnsi="宋体" w:eastAsia="宋体"/>
          <w:color w:val="000000"/>
          <w:sz w:val="24"/>
          <w:szCs w:val="24"/>
        </w:rPr>
        <w:t>2005</w:t>
      </w:r>
      <w:r>
        <w:rPr>
          <w:rFonts w:hint="eastAsia" w:ascii="Times New Roman" w:hAnsi="宋体" w:eastAsia="宋体"/>
          <w:color w:val="000000"/>
          <w:sz w:val="24"/>
          <w:szCs w:val="24"/>
        </w:rPr>
        <w:t>）第</w:t>
      </w:r>
      <w:r>
        <w:rPr>
          <w:rFonts w:ascii="Times New Roman" w:hAnsi="宋体" w:eastAsia="宋体"/>
          <w:color w:val="000000"/>
          <w:sz w:val="24"/>
          <w:szCs w:val="24"/>
        </w:rPr>
        <w:t>866</w:t>
      </w:r>
      <w:r>
        <w:rPr>
          <w:rFonts w:hint="eastAsia" w:ascii="Times New Roman" w:hAnsi="宋体" w:eastAsia="宋体"/>
          <w:color w:val="000000"/>
          <w:sz w:val="24"/>
          <w:szCs w:val="24"/>
        </w:rPr>
        <w:t>号《国有土地使用证》】项下一宗出让工业用地土地使用权、土地登记面积为</w:t>
      </w:r>
      <w:r>
        <w:rPr>
          <w:rFonts w:ascii="Times New Roman" w:hAnsi="宋体" w:eastAsia="宋体"/>
          <w:color w:val="000000"/>
          <w:sz w:val="24"/>
          <w:szCs w:val="24"/>
        </w:rPr>
        <w:t>21564.79</w:t>
      </w:r>
      <w:r>
        <w:rPr>
          <w:rFonts w:hint="eastAsia" w:ascii="Times New Roman" w:hAnsi="宋体" w:eastAsia="宋体"/>
          <w:color w:val="000000"/>
          <w:sz w:val="24"/>
          <w:szCs w:val="24"/>
        </w:rPr>
        <w:t>㎡，地面房屋总建筑面积共</w:t>
      </w:r>
      <w:r>
        <w:rPr>
          <w:rFonts w:ascii="Times New Roman" w:hAnsi="宋体" w:eastAsia="宋体"/>
          <w:color w:val="000000"/>
          <w:sz w:val="24"/>
          <w:szCs w:val="24"/>
        </w:rPr>
        <w:t>31454.69</w:t>
      </w:r>
      <w:r>
        <w:rPr>
          <w:rFonts w:hint="eastAsia" w:ascii="Times New Roman" w:hAnsi="宋体" w:eastAsia="宋体"/>
          <w:color w:val="000000"/>
          <w:sz w:val="24"/>
          <w:szCs w:val="24"/>
        </w:rPr>
        <w:t>㎡（其中取得权证的建筑面积共</w:t>
      </w:r>
      <w:r>
        <w:rPr>
          <w:rFonts w:ascii="Times New Roman" w:hAnsi="宋体" w:eastAsia="宋体"/>
          <w:color w:val="000000"/>
          <w:sz w:val="24"/>
          <w:szCs w:val="24"/>
        </w:rPr>
        <w:t>31409</w:t>
      </w:r>
      <w:r>
        <w:rPr>
          <w:rFonts w:hint="eastAsia" w:ascii="Times New Roman" w:hAnsi="宋体" w:eastAsia="宋体"/>
          <w:color w:val="000000"/>
          <w:sz w:val="24"/>
          <w:szCs w:val="24"/>
        </w:rPr>
        <w:t>㎡，经测绘的无证房屋面积共</w:t>
      </w:r>
      <w:r>
        <w:rPr>
          <w:rFonts w:ascii="Times New Roman" w:hAnsi="宋体" w:eastAsia="宋体"/>
          <w:color w:val="000000"/>
          <w:sz w:val="24"/>
          <w:szCs w:val="24"/>
        </w:rPr>
        <w:t>45.69</w:t>
      </w:r>
      <w:r>
        <w:rPr>
          <w:rFonts w:hint="eastAsia" w:ascii="Times New Roman" w:hAnsi="宋体" w:eastAsia="宋体"/>
          <w:color w:val="000000"/>
          <w:sz w:val="24"/>
          <w:szCs w:val="24"/>
        </w:rPr>
        <w:t>㎡）。</w:t>
      </w:r>
      <w:r>
        <w:rPr>
          <w:rFonts w:hint="eastAsia" w:hAnsi="宋体" w:eastAsia="宋体"/>
          <w:color w:val="000000"/>
          <w:sz w:val="24"/>
        </w:rPr>
        <w:t>其权益基本状况为：</w:t>
      </w:r>
    </w:p>
    <w:p>
      <w:pPr>
        <w:widowControl/>
        <w:jc w:val="center"/>
        <w:rPr>
          <w:sz w:val="24"/>
          <w:lang w:val="zh-CN"/>
        </w:rPr>
      </w:pPr>
      <w:r>
        <w:rPr>
          <w:lang w:val="zh-CN"/>
        </w:rPr>
        <w:br w:type="page"/>
      </w:r>
      <w:r>
        <w:rPr>
          <w:rFonts w:hint="eastAsia"/>
          <w:sz w:val="24"/>
          <w:lang w:val="zh-CN"/>
        </w:rPr>
        <w:t>权益状况一览表</w:t>
      </w:r>
    </w:p>
    <w:tbl>
      <w:tblPr>
        <w:tblStyle w:val="35"/>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565"/>
        <w:gridCol w:w="6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5" w:type="dxa"/>
            <w:gridSpan w:val="2"/>
            <w:vAlign w:val="center"/>
          </w:tcPr>
          <w:p>
            <w:pPr>
              <w:pStyle w:val="85"/>
              <w:spacing w:line="340" w:lineRule="exact"/>
              <w:ind w:firstLine="1350" w:firstLineChars="750"/>
              <w:rPr>
                <w:rFonts w:ascii="宋体" w:eastAsia="宋体" w:cs="宋体"/>
                <w:color w:val="000000"/>
                <w:sz w:val="18"/>
                <w:szCs w:val="18"/>
              </w:rPr>
            </w:pPr>
            <w:r>
              <w:rPr>
                <w:rFonts w:hint="eastAsia" w:ascii="宋体" w:hAnsi="宋体" w:eastAsia="宋体" w:cs="宋体"/>
                <w:color w:val="000000"/>
                <w:sz w:val="18"/>
                <w:szCs w:val="18"/>
              </w:rPr>
              <w:t>项目</w:t>
            </w:r>
          </w:p>
        </w:tc>
        <w:tc>
          <w:tcPr>
            <w:tcW w:w="6658" w:type="dxa"/>
            <w:vAlign w:val="center"/>
          </w:tcPr>
          <w:p>
            <w:pPr>
              <w:pStyle w:val="85"/>
              <w:spacing w:line="340" w:lineRule="exact"/>
              <w:ind w:firstLine="2097" w:firstLineChars="1165"/>
              <w:rPr>
                <w:rFonts w:ascii="宋体" w:eastAsia="宋体" w:cs="宋体"/>
                <w:color w:val="000000"/>
                <w:sz w:val="18"/>
                <w:szCs w:val="18"/>
              </w:rPr>
            </w:pPr>
            <w:r>
              <w:rPr>
                <w:rFonts w:hint="eastAsia" w:ascii="宋体" w:hAnsi="宋体" w:eastAsia="宋体" w:cs="宋体"/>
                <w:color w:val="000000"/>
                <w:sz w:val="18"/>
                <w:szCs w:val="18"/>
              </w:rPr>
              <w:t>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0" w:type="dxa"/>
            <w:vMerge w:val="restart"/>
            <w:vAlign w:val="center"/>
          </w:tcPr>
          <w:p>
            <w:pPr>
              <w:pStyle w:val="85"/>
              <w:spacing w:line="340" w:lineRule="exact"/>
              <w:ind w:firstLine="0"/>
              <w:rPr>
                <w:rFonts w:ascii="宋体" w:hAnsi="宋体" w:eastAsia="宋体" w:cs="宋体"/>
                <w:color w:val="000000"/>
                <w:sz w:val="18"/>
                <w:szCs w:val="18"/>
              </w:rPr>
            </w:pPr>
            <w:r>
              <w:rPr>
                <w:rFonts w:hint="eastAsia" w:ascii="宋体" w:hAnsi="宋体" w:eastAsia="宋体" w:cs="宋体"/>
                <w:color w:val="000000"/>
                <w:sz w:val="18"/>
                <w:szCs w:val="18"/>
              </w:rPr>
              <w:t>权属证明登记情况</w:t>
            </w:r>
          </w:p>
        </w:tc>
        <w:tc>
          <w:tcPr>
            <w:tcW w:w="1565" w:type="dxa"/>
            <w:vAlign w:val="center"/>
          </w:tcPr>
          <w:p>
            <w:pPr>
              <w:pStyle w:val="85"/>
              <w:spacing w:line="340" w:lineRule="exact"/>
              <w:ind w:firstLine="0"/>
              <w:rPr>
                <w:rFonts w:ascii="宋体" w:hAnsi="宋体" w:eastAsia="宋体" w:cs="宋体"/>
                <w:color w:val="000000"/>
                <w:sz w:val="18"/>
                <w:szCs w:val="18"/>
              </w:rPr>
            </w:pPr>
            <w:r>
              <w:rPr>
                <w:rFonts w:hint="eastAsia" w:ascii="宋体" w:hAnsi="宋体" w:eastAsia="宋体" w:cs="宋体"/>
                <w:color w:val="000000"/>
                <w:sz w:val="18"/>
                <w:szCs w:val="18"/>
              </w:rPr>
              <w:t>用途</w:t>
            </w:r>
          </w:p>
        </w:tc>
        <w:tc>
          <w:tcPr>
            <w:tcW w:w="6658" w:type="dxa"/>
            <w:vAlign w:val="center"/>
          </w:tcPr>
          <w:p>
            <w:pPr>
              <w:pStyle w:val="85"/>
              <w:spacing w:line="340" w:lineRule="exact"/>
              <w:ind w:firstLine="0"/>
              <w:rPr>
                <w:rFonts w:ascii="宋体" w:eastAsia="宋体" w:cs="宋体"/>
                <w:color w:val="000000"/>
                <w:sz w:val="18"/>
                <w:szCs w:val="18"/>
              </w:rPr>
            </w:pPr>
            <w:r>
              <w:rPr>
                <w:rFonts w:hint="eastAsia" w:ascii="宋体" w:eastAsia="宋体" w:cs="宋体"/>
                <w:color w:val="000000"/>
                <w:sz w:val="18"/>
                <w:szCs w:val="18"/>
              </w:rPr>
              <w:t>根据委托人提供的《房屋所有权证》记载，地上有证建筑的规划用途为工厂、办公楼、宿舍楼、其他等。估价员实地查勘为经营性汽车展厅、办公楼等。土地使用权用途为出让工业用地。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pPr>
              <w:pStyle w:val="85"/>
              <w:spacing w:line="340" w:lineRule="exact"/>
              <w:ind w:firstLine="0"/>
              <w:rPr>
                <w:rFonts w:ascii="宋体" w:eastAsia="宋体" w:cs="宋体"/>
                <w:color w:val="000000"/>
                <w:sz w:val="18"/>
                <w:szCs w:val="18"/>
              </w:rPr>
            </w:pPr>
          </w:p>
        </w:tc>
        <w:tc>
          <w:tcPr>
            <w:tcW w:w="1565" w:type="dxa"/>
            <w:vAlign w:val="center"/>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权利人</w:t>
            </w:r>
          </w:p>
        </w:tc>
        <w:tc>
          <w:tcPr>
            <w:tcW w:w="6658" w:type="dxa"/>
            <w:vAlign w:val="center"/>
          </w:tcPr>
          <w:p>
            <w:pPr>
              <w:pStyle w:val="85"/>
              <w:spacing w:line="340" w:lineRule="exact"/>
              <w:ind w:firstLine="0"/>
              <w:rPr>
                <w:rFonts w:ascii="宋体" w:eastAsia="宋体" w:cs="宋体"/>
                <w:color w:val="000000"/>
                <w:sz w:val="18"/>
                <w:szCs w:val="18"/>
              </w:rPr>
            </w:pPr>
            <w:r>
              <w:rPr>
                <w:rFonts w:hint="eastAsia" w:ascii="宋体" w:eastAsia="宋体" w:cs="宋体"/>
                <w:color w:val="000000"/>
                <w:sz w:val="18"/>
                <w:szCs w:val="18"/>
              </w:rPr>
              <w:t>成都中汇制药有限公司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pPr>
              <w:pStyle w:val="85"/>
              <w:spacing w:line="340" w:lineRule="exact"/>
              <w:ind w:firstLine="0"/>
              <w:rPr>
                <w:rFonts w:ascii="宋体" w:eastAsia="宋体" w:cs="宋体"/>
                <w:color w:val="000000"/>
                <w:sz w:val="18"/>
                <w:szCs w:val="18"/>
              </w:rPr>
            </w:pPr>
          </w:p>
        </w:tc>
        <w:tc>
          <w:tcPr>
            <w:tcW w:w="1565" w:type="dxa"/>
            <w:vAlign w:val="center"/>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共有情况</w:t>
            </w:r>
          </w:p>
        </w:tc>
        <w:tc>
          <w:tcPr>
            <w:tcW w:w="6658" w:type="dxa"/>
            <w:vAlign w:val="center"/>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单独所有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其他权益情况</w:t>
            </w:r>
          </w:p>
        </w:tc>
        <w:tc>
          <w:tcPr>
            <w:tcW w:w="1565" w:type="dxa"/>
            <w:vAlign w:val="center"/>
          </w:tcPr>
          <w:p>
            <w:pPr>
              <w:widowControl/>
              <w:spacing w:line="340" w:lineRule="exact"/>
              <w:rPr>
                <w:rFonts w:ascii="宋体"/>
                <w:color w:val="000000"/>
                <w:sz w:val="18"/>
                <w:szCs w:val="18"/>
              </w:rPr>
            </w:pPr>
            <w:r>
              <w:rPr>
                <w:rFonts w:hint="eastAsia" w:ascii="宋体" w:cs="宋体"/>
                <w:color w:val="000000"/>
                <w:sz w:val="18"/>
                <w:szCs w:val="18"/>
              </w:rPr>
              <w:t>规划条件</w:t>
            </w:r>
          </w:p>
        </w:tc>
        <w:tc>
          <w:tcPr>
            <w:tcW w:w="6658" w:type="dxa"/>
            <w:vAlign w:val="center"/>
          </w:tcPr>
          <w:p>
            <w:pPr>
              <w:pStyle w:val="85"/>
              <w:spacing w:line="340" w:lineRule="exact"/>
              <w:ind w:firstLine="0"/>
              <w:rPr>
                <w:rFonts w:ascii="Times New Roman" w:eastAsia="宋体"/>
                <w:color w:val="000000"/>
                <w:sz w:val="18"/>
                <w:szCs w:val="18"/>
              </w:rPr>
            </w:pPr>
            <w:r>
              <w:rPr>
                <w:rFonts w:hint="eastAsia" w:ascii="Times New Roman" w:eastAsia="宋体"/>
                <w:color w:val="000000"/>
                <w:sz w:val="18"/>
                <w:szCs w:val="18"/>
              </w:rPr>
              <w:t>土地使用权类型：出让；用途：工业；终止日期为</w:t>
            </w:r>
            <w:r>
              <w:rPr>
                <w:rFonts w:ascii="Times New Roman" w:eastAsia="宋体"/>
                <w:color w:val="000000"/>
                <w:sz w:val="18"/>
                <w:szCs w:val="18"/>
              </w:rPr>
              <w:t>2049</w:t>
            </w:r>
            <w:r>
              <w:rPr>
                <w:rFonts w:hint="eastAsia" w:ascii="Times New Roman" w:eastAsia="宋体"/>
                <w:color w:val="000000"/>
                <w:sz w:val="18"/>
                <w:szCs w:val="18"/>
              </w:rPr>
              <w:t>年</w:t>
            </w:r>
            <w:r>
              <w:rPr>
                <w:rFonts w:ascii="Times New Roman" w:eastAsia="宋体"/>
                <w:color w:val="000000"/>
                <w:sz w:val="18"/>
                <w:szCs w:val="18"/>
              </w:rPr>
              <w:t>5</w:t>
            </w:r>
            <w:r>
              <w:rPr>
                <w:rFonts w:hint="eastAsia" w:ascii="Times New Roman" w:eastAsia="宋体"/>
                <w:color w:val="000000"/>
                <w:sz w:val="18"/>
                <w:szCs w:val="18"/>
              </w:rPr>
              <w:t>月</w:t>
            </w:r>
            <w:r>
              <w:rPr>
                <w:rFonts w:ascii="Times New Roman" w:eastAsia="宋体"/>
                <w:color w:val="000000"/>
                <w:sz w:val="18"/>
                <w:szCs w:val="18"/>
              </w:rPr>
              <w:t>30</w:t>
            </w:r>
            <w:r>
              <w:rPr>
                <w:rFonts w:hint="eastAsia" w:ascii="Times New Roman" w:eastAsia="宋体"/>
                <w:color w:val="000000"/>
                <w:sz w:val="18"/>
                <w:szCs w:val="18"/>
              </w:rPr>
              <w:t>日，至价值时点</w:t>
            </w:r>
            <w:r>
              <w:rPr>
                <w:rFonts w:ascii="Times New Roman" w:eastAsia="宋体"/>
                <w:color w:val="000000"/>
                <w:sz w:val="18"/>
                <w:szCs w:val="18"/>
              </w:rPr>
              <w:t>2022</w:t>
            </w:r>
            <w:r>
              <w:rPr>
                <w:rFonts w:hint="eastAsia" w:ascii="Times New Roman" w:eastAsia="宋体"/>
                <w:color w:val="000000"/>
                <w:sz w:val="18"/>
                <w:szCs w:val="18"/>
              </w:rPr>
              <w:t>年</w:t>
            </w:r>
            <w:r>
              <w:rPr>
                <w:rFonts w:ascii="Times New Roman" w:eastAsia="宋体"/>
                <w:color w:val="000000"/>
                <w:sz w:val="18"/>
                <w:szCs w:val="18"/>
              </w:rPr>
              <w:t>04</w:t>
            </w:r>
            <w:r>
              <w:rPr>
                <w:rFonts w:hint="eastAsia" w:ascii="Times New Roman" w:eastAsia="宋体"/>
                <w:color w:val="000000"/>
                <w:sz w:val="18"/>
                <w:szCs w:val="18"/>
              </w:rPr>
              <w:t>月</w:t>
            </w:r>
            <w:r>
              <w:rPr>
                <w:rFonts w:ascii="Times New Roman" w:eastAsia="宋体"/>
                <w:color w:val="000000"/>
                <w:sz w:val="18"/>
                <w:szCs w:val="18"/>
              </w:rPr>
              <w:t>02</w:t>
            </w:r>
            <w:r>
              <w:rPr>
                <w:rFonts w:hint="eastAsia" w:ascii="Times New Roman" w:eastAsia="宋体"/>
                <w:color w:val="000000"/>
                <w:sz w:val="18"/>
                <w:szCs w:val="18"/>
              </w:rPr>
              <w:t>日剩余年限约</w:t>
            </w:r>
            <w:r>
              <w:rPr>
                <w:rFonts w:ascii="Times New Roman" w:eastAsia="宋体"/>
                <w:color w:val="000000"/>
                <w:sz w:val="18"/>
                <w:szCs w:val="18"/>
              </w:rPr>
              <w:t>27.16</w:t>
            </w:r>
            <w:r>
              <w:rPr>
                <w:rFonts w:hint="eastAsia" w:ascii="Times New Roman" w:eastAsia="宋体"/>
                <w:color w:val="000000"/>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0" w:type="dxa"/>
            <w:vMerge w:val="continue"/>
            <w:vAlign w:val="center"/>
          </w:tcPr>
          <w:p>
            <w:pPr>
              <w:pStyle w:val="85"/>
              <w:spacing w:line="340" w:lineRule="exact"/>
              <w:ind w:firstLine="0"/>
              <w:rPr>
                <w:rFonts w:ascii="宋体" w:eastAsia="宋体" w:cs="宋体"/>
                <w:color w:val="000000"/>
                <w:sz w:val="18"/>
                <w:szCs w:val="18"/>
              </w:rPr>
            </w:pPr>
          </w:p>
        </w:tc>
        <w:tc>
          <w:tcPr>
            <w:tcW w:w="1565" w:type="dxa"/>
            <w:vAlign w:val="center"/>
          </w:tcPr>
          <w:p>
            <w:pPr>
              <w:widowControl/>
              <w:spacing w:line="340" w:lineRule="exact"/>
              <w:rPr>
                <w:rFonts w:ascii="宋体"/>
                <w:color w:val="000000"/>
                <w:sz w:val="18"/>
                <w:szCs w:val="18"/>
              </w:rPr>
            </w:pPr>
            <w:r>
              <w:rPr>
                <w:rFonts w:hint="eastAsia" w:ascii="宋体" w:cs="宋体"/>
                <w:color w:val="000000"/>
                <w:sz w:val="18"/>
                <w:szCs w:val="18"/>
              </w:rPr>
              <w:t>用益物权</w:t>
            </w:r>
          </w:p>
        </w:tc>
        <w:tc>
          <w:tcPr>
            <w:tcW w:w="6658" w:type="dxa"/>
            <w:vAlign w:val="center"/>
          </w:tcPr>
          <w:p>
            <w:pPr>
              <w:pStyle w:val="85"/>
              <w:spacing w:line="340" w:lineRule="exact"/>
              <w:ind w:firstLine="0"/>
              <w:rPr>
                <w:rFonts w:ascii="宋体" w:eastAsia="宋体" w:cs="宋体"/>
                <w:color w:val="000000"/>
                <w:sz w:val="18"/>
                <w:szCs w:val="18"/>
              </w:rPr>
            </w:pPr>
            <w:r>
              <w:rPr>
                <w:rFonts w:hint="eastAsia" w:ascii="宋体" w:hAnsi="Calibri" w:eastAsia="宋体"/>
                <w:color w:val="000000"/>
                <w:sz w:val="18"/>
                <w:szCs w:val="18"/>
              </w:rPr>
              <w:t>本次估价以权利人对估价对象享有占有、使用的用益物权，能够满足经营配套服务需要为假设前提。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pPr>
              <w:pStyle w:val="85"/>
              <w:spacing w:line="340" w:lineRule="exact"/>
              <w:ind w:firstLine="0"/>
              <w:rPr>
                <w:rFonts w:ascii="宋体" w:eastAsia="宋体" w:cs="宋体"/>
                <w:color w:val="000000"/>
                <w:sz w:val="18"/>
                <w:szCs w:val="18"/>
              </w:rPr>
            </w:pPr>
          </w:p>
        </w:tc>
        <w:tc>
          <w:tcPr>
            <w:tcW w:w="1565" w:type="dxa"/>
            <w:vAlign w:val="center"/>
          </w:tcPr>
          <w:p>
            <w:pPr>
              <w:widowControl/>
              <w:spacing w:line="340" w:lineRule="exact"/>
              <w:rPr>
                <w:rFonts w:ascii="宋体"/>
                <w:color w:val="000000"/>
                <w:sz w:val="18"/>
                <w:szCs w:val="18"/>
              </w:rPr>
            </w:pPr>
            <w:r>
              <w:rPr>
                <w:rFonts w:hint="eastAsia" w:ascii="宋体" w:cs="宋体"/>
                <w:color w:val="000000"/>
                <w:sz w:val="18"/>
                <w:szCs w:val="18"/>
              </w:rPr>
              <w:t>担保物权</w:t>
            </w:r>
          </w:p>
        </w:tc>
        <w:tc>
          <w:tcPr>
            <w:tcW w:w="6658" w:type="dxa"/>
            <w:vAlign w:val="center"/>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估价委托人提供的资料未记载，本次估价为市场价值评估，设定估价对象无担保物权等因素影响。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pPr>
              <w:pStyle w:val="85"/>
              <w:spacing w:line="340" w:lineRule="exact"/>
              <w:ind w:firstLine="0"/>
              <w:rPr>
                <w:rFonts w:ascii="宋体" w:eastAsia="宋体" w:cs="宋体"/>
                <w:color w:val="000000"/>
                <w:sz w:val="18"/>
                <w:szCs w:val="18"/>
              </w:rPr>
            </w:pPr>
          </w:p>
        </w:tc>
        <w:tc>
          <w:tcPr>
            <w:tcW w:w="1565" w:type="dxa"/>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租赁或占用情况</w:t>
            </w:r>
          </w:p>
        </w:tc>
        <w:tc>
          <w:tcPr>
            <w:tcW w:w="6658" w:type="dxa"/>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权利人介绍和估价人员实地查勘，估价对象由权利人出租使用，估价委托人未提供租赁合同，经与承办法官沟通本次不考虑实际租赁对市场价值的影响。故本次设定权利人未与任何一方签署针对于估价对象的无限期或影响估价价值的租赁协议，未拖欠水电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pPr>
              <w:pStyle w:val="7"/>
              <w:spacing w:line="340" w:lineRule="exact"/>
              <w:rPr>
                <w:rFonts w:ascii="宋体" w:eastAsia="宋体" w:cs="宋体"/>
                <w:color w:val="000000"/>
                <w:sz w:val="18"/>
                <w:szCs w:val="18"/>
              </w:rPr>
            </w:pPr>
          </w:p>
        </w:tc>
        <w:tc>
          <w:tcPr>
            <w:tcW w:w="1565" w:type="dxa"/>
            <w:vAlign w:val="center"/>
          </w:tcPr>
          <w:p>
            <w:pPr>
              <w:pStyle w:val="7"/>
              <w:spacing w:line="340" w:lineRule="exact"/>
              <w:rPr>
                <w:rFonts w:ascii="宋体" w:eastAsia="宋体" w:cs="宋体"/>
                <w:color w:val="000000"/>
                <w:sz w:val="18"/>
                <w:szCs w:val="18"/>
              </w:rPr>
            </w:pPr>
            <w:r>
              <w:rPr>
                <w:rFonts w:hint="eastAsia" w:ascii="宋体" w:hAnsi="宋体" w:eastAsia="宋体" w:cs="宋体"/>
                <w:color w:val="000000"/>
                <w:sz w:val="18"/>
                <w:szCs w:val="18"/>
              </w:rPr>
              <w:t>拖欠税费情况</w:t>
            </w:r>
          </w:p>
        </w:tc>
        <w:tc>
          <w:tcPr>
            <w:tcW w:w="6658" w:type="dxa"/>
            <w:vAlign w:val="center"/>
          </w:tcPr>
          <w:p>
            <w:pPr>
              <w:pStyle w:val="85"/>
              <w:spacing w:before="100" w:beforeAutospacing="1" w:after="100" w:afterAutospacing="1" w:line="300" w:lineRule="exact"/>
              <w:ind w:firstLine="0"/>
              <w:rPr>
                <w:rFonts w:eastAsia="宋体"/>
                <w:color w:val="000000"/>
                <w:sz w:val="18"/>
                <w:szCs w:val="18"/>
              </w:rPr>
            </w:pPr>
            <w:r>
              <w:rPr>
                <w:rFonts w:hint="eastAsia" w:eastAsia="宋体"/>
                <w:color w:val="000000"/>
                <w:sz w:val="18"/>
                <w:szCs w:val="18"/>
              </w:rPr>
              <w:t>土地使用权已取得权证，地上部分建筑物未办理权证，设定无拖欠税费及水电气费违约金。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0" w:type="dxa"/>
            <w:vMerge w:val="continue"/>
            <w:vAlign w:val="center"/>
          </w:tcPr>
          <w:p>
            <w:pPr>
              <w:pStyle w:val="85"/>
              <w:spacing w:line="340" w:lineRule="exact"/>
              <w:ind w:firstLine="0"/>
              <w:rPr>
                <w:rFonts w:ascii="宋体" w:eastAsia="宋体" w:cs="宋体"/>
                <w:color w:val="000000"/>
                <w:sz w:val="18"/>
                <w:szCs w:val="18"/>
              </w:rPr>
            </w:pPr>
          </w:p>
        </w:tc>
        <w:tc>
          <w:tcPr>
            <w:tcW w:w="1565" w:type="dxa"/>
            <w:vAlign w:val="center"/>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查封等形式限制权利情况</w:t>
            </w:r>
          </w:p>
        </w:tc>
        <w:tc>
          <w:tcPr>
            <w:tcW w:w="6658" w:type="dxa"/>
            <w:vAlign w:val="center"/>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估价委托人双方提供的资料未记载，根据估价目的，本次不考虑限制登记的影响。设定：估价委托人对估价对象拥有处置权。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990" w:type="dxa"/>
            <w:vMerge w:val="continue"/>
            <w:vAlign w:val="center"/>
          </w:tcPr>
          <w:p>
            <w:pPr>
              <w:pStyle w:val="85"/>
              <w:spacing w:line="340" w:lineRule="exact"/>
              <w:ind w:firstLine="0"/>
              <w:rPr>
                <w:rFonts w:ascii="宋体" w:eastAsia="宋体" w:cs="宋体"/>
                <w:color w:val="000000"/>
                <w:sz w:val="18"/>
                <w:szCs w:val="18"/>
              </w:rPr>
            </w:pPr>
          </w:p>
        </w:tc>
        <w:tc>
          <w:tcPr>
            <w:tcW w:w="1565" w:type="dxa"/>
            <w:vAlign w:val="center"/>
          </w:tcPr>
          <w:p>
            <w:pPr>
              <w:widowControl/>
              <w:spacing w:line="340" w:lineRule="exact"/>
              <w:rPr>
                <w:rFonts w:ascii="宋体"/>
                <w:color w:val="000000"/>
                <w:sz w:val="18"/>
                <w:szCs w:val="18"/>
              </w:rPr>
            </w:pPr>
            <w:r>
              <w:rPr>
                <w:rFonts w:hint="eastAsia" w:ascii="宋体" w:cs="宋体"/>
                <w:color w:val="000000"/>
                <w:sz w:val="18"/>
                <w:szCs w:val="18"/>
              </w:rPr>
              <w:t>权属清晰情况</w:t>
            </w:r>
          </w:p>
        </w:tc>
        <w:tc>
          <w:tcPr>
            <w:tcW w:w="6658" w:type="dxa"/>
            <w:vAlign w:val="center"/>
          </w:tcPr>
          <w:p>
            <w:pPr>
              <w:pStyle w:val="85"/>
              <w:spacing w:line="340" w:lineRule="exact"/>
              <w:ind w:firstLine="0"/>
              <w:rPr>
                <w:rFonts w:ascii="宋体" w:eastAsia="宋体" w:cs="宋体"/>
                <w:color w:val="000000"/>
                <w:sz w:val="18"/>
                <w:szCs w:val="18"/>
              </w:rPr>
            </w:pPr>
            <w:r>
              <w:rPr>
                <w:rFonts w:hint="eastAsia" w:ascii="宋体" w:hAnsi="宋体" w:eastAsia="宋体" w:cs="宋体"/>
                <w:color w:val="000000"/>
                <w:sz w:val="18"/>
                <w:szCs w:val="18"/>
              </w:rPr>
              <w:t>土地使用权已取得《国有土地使用证》，大部分建筑物已取得《房屋所有权证》。</w:t>
            </w:r>
          </w:p>
        </w:tc>
      </w:tr>
    </w:tbl>
    <w:p>
      <w:pPr>
        <w:pStyle w:val="85"/>
        <w:numPr>
          <w:ilvl w:val="0"/>
          <w:numId w:val="1"/>
        </w:numPr>
        <w:spacing w:line="500" w:lineRule="atLeast"/>
        <w:ind w:left="939"/>
        <w:rPr>
          <w:rFonts w:ascii="宋体" w:hAnsi="宋体" w:eastAsia="宋体"/>
          <w:b/>
          <w:bCs/>
          <w:color w:val="000000"/>
          <w:sz w:val="24"/>
          <w:szCs w:val="24"/>
        </w:rPr>
      </w:pPr>
      <w:r>
        <w:rPr>
          <w:rFonts w:hint="eastAsia" w:ascii="宋体" w:hAnsi="宋体" w:eastAsia="宋体"/>
          <w:b/>
          <w:bCs/>
          <w:color w:val="000000"/>
          <w:sz w:val="24"/>
          <w:szCs w:val="24"/>
        </w:rPr>
        <w:t>登记状况</w:t>
      </w:r>
    </w:p>
    <w:p>
      <w:pPr>
        <w:pStyle w:val="11"/>
        <w:spacing w:line="500" w:lineRule="exact"/>
        <w:ind w:left="0" w:firstLine="480" w:firstLineChars="200"/>
        <w:rPr>
          <w:color w:val="000000"/>
          <w:sz w:val="24"/>
        </w:rPr>
      </w:pPr>
      <w:r>
        <w:rPr>
          <w:rFonts w:hint="eastAsia" w:hAnsi="宋体"/>
          <w:color w:val="000000"/>
          <w:sz w:val="24"/>
        </w:rPr>
        <w:t>估价委托人提供了估价对象</w:t>
      </w:r>
      <w:r>
        <w:rPr>
          <w:rFonts w:hint="eastAsia"/>
          <w:color w:val="000000"/>
          <w:sz w:val="24"/>
          <w:szCs w:val="24"/>
        </w:rPr>
        <w:t>《</w:t>
      </w:r>
      <w:r>
        <w:rPr>
          <w:rFonts w:hint="eastAsia" w:cs="宋体"/>
          <w:color w:val="000000"/>
          <w:sz w:val="24"/>
          <w:szCs w:val="24"/>
        </w:rPr>
        <w:t>国有土地使用证</w:t>
      </w:r>
      <w:r>
        <w:rPr>
          <w:rFonts w:hint="eastAsia"/>
          <w:color w:val="000000"/>
          <w:sz w:val="24"/>
          <w:szCs w:val="24"/>
        </w:rPr>
        <w:t>》</w:t>
      </w:r>
      <w:r>
        <w:rPr>
          <w:rFonts w:hint="eastAsia" w:hAnsi="宋体"/>
          <w:color w:val="000000"/>
          <w:sz w:val="24"/>
        </w:rPr>
        <w:t>及有证建筑物的《房屋所有权证》等（复印件），其登记状况分别如下。</w:t>
      </w:r>
    </w:p>
    <w:p>
      <w:pPr>
        <w:spacing w:line="560" w:lineRule="exact"/>
        <w:jc w:val="center"/>
        <w:rPr>
          <w:rFonts w:cs="宋体"/>
          <w:color w:val="000000"/>
          <w:sz w:val="24"/>
        </w:rPr>
      </w:pPr>
      <w:r>
        <w:rPr>
          <w:rFonts w:hint="eastAsia" w:cs="宋体"/>
          <w:color w:val="000000"/>
          <w:sz w:val="24"/>
        </w:rPr>
        <w:t>《国有土地使用证》登记情况</w:t>
      </w:r>
    </w:p>
    <w:tbl>
      <w:tblPr>
        <w:tblStyle w:val="35"/>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55"/>
        <w:gridCol w:w="1176"/>
        <w:gridCol w:w="1440"/>
        <w:gridCol w:w="674"/>
        <w:gridCol w:w="900"/>
        <w:gridCol w:w="991"/>
        <w:gridCol w:w="1384"/>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55" w:type="dxa"/>
            <w:vAlign w:val="center"/>
          </w:tcPr>
          <w:p>
            <w:pPr>
              <w:widowControl/>
              <w:spacing w:line="400" w:lineRule="exact"/>
              <w:jc w:val="center"/>
              <w:rPr>
                <w:color w:val="000000"/>
                <w:kern w:val="0"/>
                <w:sz w:val="18"/>
                <w:szCs w:val="18"/>
              </w:rPr>
            </w:pPr>
            <w:r>
              <w:rPr>
                <w:rFonts w:hint="eastAsia"/>
                <w:color w:val="000000"/>
                <w:kern w:val="0"/>
                <w:sz w:val="18"/>
                <w:szCs w:val="18"/>
              </w:rPr>
              <w:t>土地使用权人</w:t>
            </w:r>
          </w:p>
        </w:tc>
        <w:tc>
          <w:tcPr>
            <w:tcW w:w="1176" w:type="dxa"/>
            <w:vAlign w:val="center"/>
          </w:tcPr>
          <w:p>
            <w:pPr>
              <w:widowControl/>
              <w:spacing w:line="400" w:lineRule="exact"/>
              <w:jc w:val="center"/>
              <w:rPr>
                <w:color w:val="000000"/>
                <w:kern w:val="0"/>
                <w:sz w:val="18"/>
                <w:szCs w:val="18"/>
              </w:rPr>
            </w:pPr>
            <w:r>
              <w:rPr>
                <w:rFonts w:hint="eastAsia"/>
                <w:color w:val="000000"/>
                <w:kern w:val="0"/>
                <w:sz w:val="18"/>
                <w:szCs w:val="18"/>
              </w:rPr>
              <w:t>土地使用证号</w:t>
            </w:r>
          </w:p>
        </w:tc>
        <w:tc>
          <w:tcPr>
            <w:tcW w:w="1440" w:type="dxa"/>
            <w:vAlign w:val="center"/>
          </w:tcPr>
          <w:p>
            <w:pPr>
              <w:widowControl/>
              <w:spacing w:line="400" w:lineRule="exact"/>
              <w:jc w:val="center"/>
              <w:rPr>
                <w:color w:val="000000"/>
                <w:kern w:val="0"/>
                <w:sz w:val="18"/>
                <w:szCs w:val="18"/>
              </w:rPr>
            </w:pPr>
            <w:r>
              <w:rPr>
                <w:rFonts w:hint="eastAsia"/>
                <w:color w:val="000000"/>
                <w:kern w:val="0"/>
                <w:sz w:val="18"/>
                <w:szCs w:val="18"/>
              </w:rPr>
              <w:t>座</w:t>
            </w:r>
            <w:r>
              <w:rPr>
                <w:color w:val="000000"/>
                <w:kern w:val="0"/>
                <w:sz w:val="18"/>
                <w:szCs w:val="18"/>
              </w:rPr>
              <w:t xml:space="preserve">  </w:t>
            </w:r>
            <w:r>
              <w:rPr>
                <w:rFonts w:hint="eastAsia"/>
                <w:color w:val="000000"/>
                <w:kern w:val="0"/>
                <w:sz w:val="18"/>
                <w:szCs w:val="18"/>
              </w:rPr>
              <w:t>落</w:t>
            </w:r>
          </w:p>
        </w:tc>
        <w:tc>
          <w:tcPr>
            <w:tcW w:w="674" w:type="dxa"/>
            <w:vAlign w:val="center"/>
          </w:tcPr>
          <w:p>
            <w:pPr>
              <w:widowControl/>
              <w:spacing w:line="400" w:lineRule="exact"/>
              <w:jc w:val="center"/>
              <w:rPr>
                <w:color w:val="000000"/>
                <w:kern w:val="0"/>
                <w:sz w:val="18"/>
                <w:szCs w:val="18"/>
              </w:rPr>
            </w:pPr>
            <w:r>
              <w:rPr>
                <w:rFonts w:hint="eastAsia"/>
                <w:color w:val="000000"/>
                <w:kern w:val="0"/>
                <w:sz w:val="18"/>
                <w:szCs w:val="18"/>
              </w:rPr>
              <w:t>地号</w:t>
            </w:r>
          </w:p>
        </w:tc>
        <w:tc>
          <w:tcPr>
            <w:tcW w:w="900" w:type="dxa"/>
            <w:vAlign w:val="center"/>
          </w:tcPr>
          <w:p>
            <w:pPr>
              <w:widowControl/>
              <w:spacing w:line="400" w:lineRule="exact"/>
              <w:jc w:val="center"/>
              <w:rPr>
                <w:color w:val="000000"/>
                <w:kern w:val="0"/>
                <w:sz w:val="18"/>
                <w:szCs w:val="18"/>
              </w:rPr>
            </w:pPr>
            <w:r>
              <w:rPr>
                <w:rFonts w:hint="eastAsia"/>
                <w:color w:val="000000"/>
                <w:kern w:val="0"/>
                <w:sz w:val="18"/>
                <w:szCs w:val="18"/>
              </w:rPr>
              <w:t>使用权</w:t>
            </w:r>
          </w:p>
          <w:p>
            <w:pPr>
              <w:widowControl/>
              <w:spacing w:line="400" w:lineRule="exact"/>
              <w:jc w:val="center"/>
              <w:rPr>
                <w:color w:val="000000"/>
                <w:kern w:val="0"/>
                <w:sz w:val="18"/>
                <w:szCs w:val="18"/>
              </w:rPr>
            </w:pPr>
            <w:r>
              <w:rPr>
                <w:rFonts w:hint="eastAsia"/>
                <w:color w:val="000000"/>
                <w:kern w:val="0"/>
                <w:sz w:val="18"/>
                <w:szCs w:val="18"/>
              </w:rPr>
              <w:t>类型</w:t>
            </w:r>
          </w:p>
        </w:tc>
        <w:tc>
          <w:tcPr>
            <w:tcW w:w="991" w:type="dxa"/>
            <w:vAlign w:val="center"/>
          </w:tcPr>
          <w:p>
            <w:pPr>
              <w:widowControl/>
              <w:spacing w:line="400" w:lineRule="exact"/>
              <w:jc w:val="center"/>
              <w:rPr>
                <w:color w:val="000000"/>
                <w:kern w:val="0"/>
                <w:sz w:val="18"/>
                <w:szCs w:val="18"/>
              </w:rPr>
            </w:pPr>
            <w:r>
              <w:rPr>
                <w:rFonts w:hint="eastAsia"/>
                <w:color w:val="000000"/>
                <w:kern w:val="0"/>
                <w:sz w:val="18"/>
                <w:szCs w:val="18"/>
              </w:rPr>
              <w:t>地类</w:t>
            </w:r>
          </w:p>
          <w:p>
            <w:pPr>
              <w:widowControl/>
              <w:spacing w:line="400" w:lineRule="exact"/>
              <w:jc w:val="center"/>
              <w:rPr>
                <w:color w:val="000000"/>
                <w:kern w:val="0"/>
                <w:sz w:val="18"/>
                <w:szCs w:val="18"/>
              </w:rPr>
            </w:pPr>
            <w:r>
              <w:rPr>
                <w:rFonts w:hint="eastAsia"/>
                <w:color w:val="000000"/>
                <w:kern w:val="0"/>
                <w:sz w:val="18"/>
                <w:szCs w:val="18"/>
              </w:rPr>
              <w:t>（用途）</w:t>
            </w:r>
          </w:p>
        </w:tc>
        <w:tc>
          <w:tcPr>
            <w:tcW w:w="1384" w:type="dxa"/>
            <w:vAlign w:val="center"/>
          </w:tcPr>
          <w:p>
            <w:pPr>
              <w:widowControl/>
              <w:spacing w:line="400" w:lineRule="exact"/>
              <w:jc w:val="center"/>
              <w:rPr>
                <w:color w:val="000000"/>
                <w:kern w:val="0"/>
                <w:sz w:val="18"/>
                <w:szCs w:val="18"/>
              </w:rPr>
            </w:pPr>
            <w:r>
              <w:rPr>
                <w:rFonts w:hint="eastAsia"/>
                <w:color w:val="000000"/>
                <w:kern w:val="0"/>
                <w:sz w:val="18"/>
                <w:szCs w:val="18"/>
              </w:rPr>
              <w:t>终止日期</w:t>
            </w:r>
          </w:p>
        </w:tc>
        <w:tc>
          <w:tcPr>
            <w:tcW w:w="1500" w:type="dxa"/>
            <w:vAlign w:val="center"/>
          </w:tcPr>
          <w:p>
            <w:pPr>
              <w:widowControl/>
              <w:spacing w:line="400" w:lineRule="exact"/>
              <w:jc w:val="center"/>
              <w:rPr>
                <w:color w:val="000000"/>
                <w:kern w:val="0"/>
                <w:sz w:val="18"/>
                <w:szCs w:val="18"/>
              </w:rPr>
            </w:pPr>
            <w:r>
              <w:rPr>
                <w:rFonts w:hint="eastAsia"/>
                <w:color w:val="000000"/>
                <w:kern w:val="0"/>
                <w:sz w:val="18"/>
                <w:szCs w:val="18"/>
              </w:rPr>
              <w:t>使用权面积（㎡）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55" w:type="dxa"/>
            <w:vAlign w:val="center"/>
          </w:tcPr>
          <w:p>
            <w:pPr>
              <w:widowControl/>
              <w:spacing w:line="400" w:lineRule="exact"/>
              <w:jc w:val="center"/>
              <w:rPr>
                <w:color w:val="000000"/>
                <w:kern w:val="0"/>
                <w:sz w:val="18"/>
                <w:szCs w:val="18"/>
              </w:rPr>
            </w:pPr>
            <w:r>
              <w:rPr>
                <w:rFonts w:hint="eastAsia"/>
                <w:color w:val="000000"/>
                <w:kern w:val="0"/>
                <w:sz w:val="18"/>
                <w:szCs w:val="18"/>
              </w:rPr>
              <w:t>成都中汇制药有限公司</w:t>
            </w:r>
          </w:p>
        </w:tc>
        <w:tc>
          <w:tcPr>
            <w:tcW w:w="1176" w:type="dxa"/>
            <w:vAlign w:val="center"/>
          </w:tcPr>
          <w:p>
            <w:pPr>
              <w:widowControl/>
              <w:spacing w:line="400" w:lineRule="exact"/>
              <w:jc w:val="center"/>
              <w:rPr>
                <w:color w:val="000000"/>
                <w:kern w:val="0"/>
                <w:sz w:val="18"/>
                <w:szCs w:val="18"/>
              </w:rPr>
            </w:pPr>
            <w:r>
              <w:rPr>
                <w:rFonts w:hint="eastAsia"/>
                <w:color w:val="000000"/>
                <w:kern w:val="0"/>
                <w:sz w:val="18"/>
                <w:szCs w:val="18"/>
              </w:rPr>
              <w:t>成国用（</w:t>
            </w:r>
            <w:r>
              <w:rPr>
                <w:color w:val="000000"/>
                <w:kern w:val="0"/>
                <w:sz w:val="18"/>
                <w:szCs w:val="18"/>
              </w:rPr>
              <w:t>2005</w:t>
            </w:r>
            <w:r>
              <w:rPr>
                <w:rFonts w:hint="eastAsia"/>
                <w:color w:val="000000"/>
                <w:kern w:val="0"/>
                <w:sz w:val="18"/>
                <w:szCs w:val="18"/>
              </w:rPr>
              <w:t>）第</w:t>
            </w:r>
            <w:r>
              <w:rPr>
                <w:color w:val="000000"/>
                <w:kern w:val="0"/>
                <w:sz w:val="18"/>
                <w:szCs w:val="18"/>
              </w:rPr>
              <w:t>866</w:t>
            </w:r>
            <w:r>
              <w:rPr>
                <w:rFonts w:hint="eastAsia"/>
                <w:color w:val="000000"/>
                <w:kern w:val="0"/>
                <w:sz w:val="18"/>
                <w:szCs w:val="18"/>
              </w:rPr>
              <w:t>号</w:t>
            </w:r>
          </w:p>
        </w:tc>
        <w:tc>
          <w:tcPr>
            <w:tcW w:w="1440" w:type="dxa"/>
            <w:vAlign w:val="center"/>
          </w:tcPr>
          <w:p>
            <w:pPr>
              <w:widowControl/>
              <w:spacing w:line="400" w:lineRule="exact"/>
              <w:jc w:val="center"/>
              <w:rPr>
                <w:color w:val="000000"/>
                <w:kern w:val="0"/>
                <w:sz w:val="18"/>
                <w:szCs w:val="18"/>
              </w:rPr>
            </w:pPr>
            <w:r>
              <w:rPr>
                <w:rFonts w:hint="eastAsia"/>
                <w:color w:val="000000"/>
                <w:kern w:val="0"/>
                <w:sz w:val="18"/>
                <w:szCs w:val="18"/>
              </w:rPr>
              <w:t>金牛区金牛乡高家村</w:t>
            </w:r>
            <w:r>
              <w:rPr>
                <w:color w:val="000000"/>
                <w:kern w:val="0"/>
                <w:sz w:val="18"/>
                <w:szCs w:val="18"/>
              </w:rPr>
              <w:t>7</w:t>
            </w:r>
            <w:r>
              <w:rPr>
                <w:rFonts w:hint="eastAsia"/>
                <w:color w:val="000000"/>
                <w:kern w:val="0"/>
                <w:sz w:val="18"/>
                <w:szCs w:val="18"/>
              </w:rPr>
              <w:t>、</w:t>
            </w:r>
            <w:r>
              <w:rPr>
                <w:color w:val="000000"/>
                <w:kern w:val="0"/>
                <w:sz w:val="18"/>
                <w:szCs w:val="18"/>
              </w:rPr>
              <w:t>8</w:t>
            </w:r>
            <w:r>
              <w:rPr>
                <w:rFonts w:hint="eastAsia"/>
                <w:color w:val="000000"/>
                <w:kern w:val="0"/>
                <w:sz w:val="18"/>
                <w:szCs w:val="18"/>
              </w:rPr>
              <w:t>组（羊市街西沿线高家路段旁）</w:t>
            </w:r>
          </w:p>
        </w:tc>
        <w:tc>
          <w:tcPr>
            <w:tcW w:w="674" w:type="dxa"/>
            <w:vAlign w:val="center"/>
          </w:tcPr>
          <w:p>
            <w:pPr>
              <w:widowControl/>
              <w:spacing w:line="400" w:lineRule="exact"/>
              <w:jc w:val="center"/>
              <w:rPr>
                <w:color w:val="000000"/>
                <w:kern w:val="0"/>
                <w:sz w:val="18"/>
                <w:szCs w:val="18"/>
              </w:rPr>
            </w:pPr>
            <w:r>
              <w:rPr>
                <w:color w:val="000000"/>
                <w:kern w:val="0"/>
                <w:sz w:val="18"/>
                <w:szCs w:val="18"/>
              </w:rPr>
              <w:t>/</w:t>
            </w:r>
          </w:p>
        </w:tc>
        <w:tc>
          <w:tcPr>
            <w:tcW w:w="900" w:type="dxa"/>
            <w:vAlign w:val="center"/>
          </w:tcPr>
          <w:p>
            <w:pPr>
              <w:widowControl/>
              <w:spacing w:line="400" w:lineRule="exact"/>
              <w:jc w:val="center"/>
              <w:rPr>
                <w:color w:val="000000"/>
                <w:kern w:val="0"/>
                <w:sz w:val="18"/>
                <w:szCs w:val="18"/>
              </w:rPr>
            </w:pPr>
            <w:r>
              <w:rPr>
                <w:rFonts w:hint="eastAsia"/>
                <w:color w:val="000000"/>
                <w:kern w:val="0"/>
                <w:sz w:val="18"/>
                <w:szCs w:val="18"/>
              </w:rPr>
              <w:t>出让</w:t>
            </w:r>
          </w:p>
        </w:tc>
        <w:tc>
          <w:tcPr>
            <w:tcW w:w="991" w:type="dxa"/>
            <w:vAlign w:val="center"/>
          </w:tcPr>
          <w:p>
            <w:pPr>
              <w:widowControl/>
              <w:spacing w:line="400" w:lineRule="exact"/>
              <w:jc w:val="center"/>
              <w:rPr>
                <w:color w:val="000000"/>
                <w:kern w:val="0"/>
                <w:sz w:val="18"/>
                <w:szCs w:val="18"/>
              </w:rPr>
            </w:pPr>
            <w:r>
              <w:rPr>
                <w:rFonts w:hint="eastAsia"/>
                <w:color w:val="000000"/>
                <w:kern w:val="0"/>
                <w:sz w:val="18"/>
                <w:szCs w:val="18"/>
              </w:rPr>
              <w:t>工业</w:t>
            </w:r>
          </w:p>
        </w:tc>
        <w:tc>
          <w:tcPr>
            <w:tcW w:w="1384" w:type="dxa"/>
            <w:vAlign w:val="center"/>
          </w:tcPr>
          <w:p>
            <w:pPr>
              <w:widowControl/>
              <w:spacing w:line="400" w:lineRule="exact"/>
              <w:jc w:val="center"/>
              <w:rPr>
                <w:color w:val="000000"/>
                <w:kern w:val="0"/>
                <w:sz w:val="18"/>
                <w:szCs w:val="18"/>
              </w:rPr>
            </w:pPr>
            <w:r>
              <w:rPr>
                <w:color w:val="000000"/>
                <w:kern w:val="0"/>
                <w:sz w:val="18"/>
                <w:szCs w:val="18"/>
              </w:rPr>
              <w:t>2049</w:t>
            </w:r>
            <w:r>
              <w:rPr>
                <w:rFonts w:hint="eastAsia"/>
                <w:color w:val="000000"/>
                <w:kern w:val="0"/>
                <w:sz w:val="18"/>
                <w:szCs w:val="18"/>
              </w:rPr>
              <w:t>年</w:t>
            </w:r>
            <w:r>
              <w:rPr>
                <w:color w:val="000000"/>
                <w:kern w:val="0"/>
                <w:sz w:val="18"/>
                <w:szCs w:val="18"/>
              </w:rPr>
              <w:t>5</w:t>
            </w:r>
            <w:r>
              <w:rPr>
                <w:rFonts w:hint="eastAsia"/>
                <w:color w:val="000000"/>
                <w:kern w:val="0"/>
                <w:sz w:val="18"/>
                <w:szCs w:val="18"/>
              </w:rPr>
              <w:t>月</w:t>
            </w:r>
            <w:r>
              <w:rPr>
                <w:color w:val="000000"/>
                <w:kern w:val="0"/>
                <w:sz w:val="18"/>
                <w:szCs w:val="18"/>
              </w:rPr>
              <w:t>30</w:t>
            </w:r>
            <w:r>
              <w:rPr>
                <w:rFonts w:hint="eastAsia"/>
                <w:color w:val="000000"/>
                <w:kern w:val="0"/>
                <w:sz w:val="18"/>
                <w:szCs w:val="18"/>
              </w:rPr>
              <w:t>日</w:t>
            </w:r>
          </w:p>
        </w:tc>
        <w:tc>
          <w:tcPr>
            <w:tcW w:w="1500" w:type="dxa"/>
            <w:vAlign w:val="center"/>
          </w:tcPr>
          <w:p>
            <w:pPr>
              <w:widowControl/>
              <w:spacing w:line="400" w:lineRule="exact"/>
              <w:jc w:val="center"/>
              <w:rPr>
                <w:color w:val="000000"/>
                <w:kern w:val="0"/>
                <w:sz w:val="18"/>
                <w:szCs w:val="18"/>
              </w:rPr>
            </w:pPr>
            <w:r>
              <w:rPr>
                <w:color w:val="000000"/>
                <w:kern w:val="0"/>
                <w:sz w:val="18"/>
                <w:szCs w:val="18"/>
              </w:rPr>
              <w:t>21564.79</w:t>
            </w:r>
            <w:r>
              <w:rPr>
                <w:rFonts w:hint="eastAsia"/>
                <w:color w:val="000000"/>
                <w:kern w:val="0"/>
                <w:sz w:val="18"/>
                <w:szCs w:val="18"/>
              </w:rPr>
              <w:t>，其中独用面积</w:t>
            </w:r>
            <w:r>
              <w:rPr>
                <w:color w:val="000000"/>
                <w:kern w:val="0"/>
                <w:sz w:val="18"/>
                <w:szCs w:val="18"/>
              </w:rPr>
              <w:t>21564.79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355" w:type="dxa"/>
            <w:vAlign w:val="center"/>
          </w:tcPr>
          <w:p>
            <w:pPr>
              <w:widowControl/>
              <w:spacing w:line="400" w:lineRule="exact"/>
              <w:jc w:val="center"/>
              <w:rPr>
                <w:color w:val="000000"/>
                <w:kern w:val="0"/>
                <w:sz w:val="18"/>
                <w:szCs w:val="18"/>
              </w:rPr>
            </w:pPr>
            <w:r>
              <w:rPr>
                <w:rFonts w:hint="eastAsia"/>
                <w:color w:val="000000"/>
                <w:kern w:val="0"/>
                <w:sz w:val="18"/>
                <w:szCs w:val="18"/>
              </w:rPr>
              <w:t>填证机关</w:t>
            </w:r>
          </w:p>
        </w:tc>
        <w:tc>
          <w:tcPr>
            <w:tcW w:w="8065" w:type="dxa"/>
            <w:gridSpan w:val="7"/>
            <w:vAlign w:val="center"/>
          </w:tcPr>
          <w:p>
            <w:pPr>
              <w:widowControl/>
              <w:spacing w:line="400" w:lineRule="exact"/>
              <w:jc w:val="center"/>
              <w:rPr>
                <w:color w:val="000000"/>
                <w:kern w:val="0"/>
                <w:sz w:val="18"/>
                <w:szCs w:val="18"/>
              </w:rPr>
            </w:pPr>
            <w:r>
              <w:rPr>
                <w:rFonts w:hint="eastAsia"/>
                <w:color w:val="000000"/>
                <w:kern w:val="0"/>
                <w:sz w:val="18"/>
                <w:szCs w:val="18"/>
              </w:rPr>
              <w:t>成都市国土资源局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355" w:type="dxa"/>
            <w:vAlign w:val="center"/>
          </w:tcPr>
          <w:p>
            <w:pPr>
              <w:widowControl/>
              <w:spacing w:line="400" w:lineRule="exact"/>
              <w:jc w:val="center"/>
              <w:rPr>
                <w:color w:val="000000"/>
                <w:kern w:val="0"/>
                <w:sz w:val="18"/>
                <w:szCs w:val="18"/>
              </w:rPr>
            </w:pPr>
            <w:r>
              <w:rPr>
                <w:rFonts w:hint="eastAsia"/>
                <w:color w:val="000000"/>
                <w:kern w:val="0"/>
                <w:sz w:val="18"/>
                <w:szCs w:val="18"/>
              </w:rPr>
              <w:t>填发日期</w:t>
            </w:r>
          </w:p>
        </w:tc>
        <w:tc>
          <w:tcPr>
            <w:tcW w:w="8065" w:type="dxa"/>
            <w:gridSpan w:val="7"/>
            <w:vAlign w:val="center"/>
          </w:tcPr>
          <w:p>
            <w:pPr>
              <w:widowControl/>
              <w:spacing w:line="400" w:lineRule="exact"/>
              <w:jc w:val="center"/>
              <w:rPr>
                <w:color w:val="000000"/>
                <w:kern w:val="0"/>
                <w:sz w:val="18"/>
                <w:szCs w:val="18"/>
              </w:rPr>
            </w:pPr>
            <w:r>
              <w:rPr>
                <w:color w:val="000000"/>
                <w:kern w:val="0"/>
                <w:sz w:val="18"/>
                <w:szCs w:val="18"/>
              </w:rPr>
              <w:t>2005</w:t>
            </w:r>
            <w:r>
              <w:rPr>
                <w:rFonts w:hint="eastAsia"/>
                <w:color w:val="000000"/>
                <w:kern w:val="0"/>
                <w:sz w:val="18"/>
                <w:szCs w:val="18"/>
              </w:rPr>
              <w:t>年</w:t>
            </w:r>
            <w:r>
              <w:rPr>
                <w:color w:val="000000"/>
                <w:kern w:val="0"/>
                <w:sz w:val="18"/>
                <w:szCs w:val="18"/>
              </w:rPr>
              <w:t>7</w:t>
            </w:r>
            <w:r>
              <w:rPr>
                <w:rFonts w:hint="eastAsia"/>
                <w:color w:val="000000"/>
                <w:kern w:val="0"/>
                <w:sz w:val="18"/>
                <w:szCs w:val="18"/>
              </w:rPr>
              <w:t>月</w:t>
            </w:r>
            <w:r>
              <w:rPr>
                <w:color w:val="000000"/>
                <w:kern w:val="0"/>
                <w:sz w:val="18"/>
                <w:szCs w:val="18"/>
              </w:rPr>
              <w:t>18</w:t>
            </w:r>
            <w:r>
              <w:rPr>
                <w:rFonts w:hint="eastAsia"/>
                <w:color w:val="000000"/>
                <w:kern w:val="0"/>
                <w:sz w:val="18"/>
                <w:szCs w:val="18"/>
              </w:rPr>
              <w:t>日</w:t>
            </w:r>
          </w:p>
        </w:tc>
      </w:tr>
    </w:tbl>
    <w:p>
      <w:pPr>
        <w:spacing w:line="560" w:lineRule="exact"/>
        <w:jc w:val="center"/>
        <w:rPr>
          <w:rFonts w:cs="宋体"/>
          <w:color w:val="000000"/>
          <w:sz w:val="24"/>
        </w:rPr>
      </w:pPr>
    </w:p>
    <w:p>
      <w:pPr>
        <w:widowControl/>
        <w:jc w:val="center"/>
        <w:rPr>
          <w:rFonts w:cs="宋体"/>
          <w:color w:val="000000"/>
          <w:sz w:val="24"/>
        </w:rPr>
      </w:pPr>
      <w:r>
        <w:rPr>
          <w:rFonts w:cs="宋体"/>
          <w:color w:val="000000"/>
          <w:sz w:val="24"/>
        </w:rPr>
        <w:br w:type="page"/>
      </w:r>
      <w:r>
        <w:rPr>
          <w:rFonts w:hint="eastAsia" w:cs="宋体"/>
          <w:color w:val="000000"/>
          <w:sz w:val="24"/>
        </w:rPr>
        <w:t>《房屋所有权证》登记情况</w:t>
      </w:r>
    </w:p>
    <w:tbl>
      <w:tblPr>
        <w:tblStyle w:val="35"/>
        <w:tblW w:w="9448" w:type="dxa"/>
        <w:jc w:val="center"/>
        <w:tblLayout w:type="fixed"/>
        <w:tblCellMar>
          <w:top w:w="0" w:type="dxa"/>
          <w:left w:w="0" w:type="dxa"/>
          <w:bottom w:w="0" w:type="dxa"/>
          <w:right w:w="0" w:type="dxa"/>
        </w:tblCellMar>
      </w:tblPr>
      <w:tblGrid>
        <w:gridCol w:w="445"/>
        <w:gridCol w:w="855"/>
        <w:gridCol w:w="764"/>
        <w:gridCol w:w="890"/>
        <w:gridCol w:w="567"/>
        <w:gridCol w:w="1067"/>
        <w:gridCol w:w="900"/>
        <w:gridCol w:w="720"/>
        <w:gridCol w:w="900"/>
        <w:gridCol w:w="1512"/>
        <w:gridCol w:w="828"/>
      </w:tblGrid>
      <w:tr>
        <w:tblPrEx>
          <w:tblCellMar>
            <w:top w:w="0" w:type="dxa"/>
            <w:left w:w="0" w:type="dxa"/>
            <w:bottom w:w="0" w:type="dxa"/>
            <w:right w:w="0"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序号</w:t>
            </w:r>
          </w:p>
        </w:tc>
        <w:tc>
          <w:tcPr>
            <w:tcW w:w="855" w:type="dxa"/>
            <w:tcBorders>
              <w:top w:val="single" w:color="000000" w:sz="4" w:space="0"/>
              <w:left w:val="single" w:color="000000" w:sz="4" w:space="0"/>
              <w:bottom w:val="single" w:color="000000" w:sz="4" w:space="0"/>
              <w:right w:val="single" w:color="auto" w:sz="4" w:space="0"/>
            </w:tcBorders>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房屋所有权证号</w:t>
            </w:r>
          </w:p>
        </w:tc>
        <w:tc>
          <w:tcPr>
            <w:tcW w:w="764"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丘（地）号</w:t>
            </w:r>
            <w:r>
              <w:rPr>
                <w:rFonts w:hAnsi="宋体"/>
                <w:color w:val="000000"/>
                <w:kern w:val="0"/>
                <w:sz w:val="18"/>
                <w:szCs w:val="18"/>
              </w:rPr>
              <w:t>/</w:t>
            </w:r>
            <w:r>
              <w:rPr>
                <w:rFonts w:hint="eastAsia" w:hAnsi="宋体"/>
                <w:color w:val="000000"/>
                <w:kern w:val="0"/>
                <w:sz w:val="18"/>
                <w:szCs w:val="18"/>
              </w:rPr>
              <w:t>档案保管号</w:t>
            </w:r>
          </w:p>
        </w:tc>
        <w:tc>
          <w:tcPr>
            <w:tcW w:w="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房屋所</w:t>
            </w:r>
          </w:p>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有权人</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共有</w:t>
            </w:r>
          </w:p>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情况</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房屋坐落</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规划用途</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所在层数</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建筑面积（㎡）</w:t>
            </w:r>
          </w:p>
        </w:tc>
        <w:tc>
          <w:tcPr>
            <w:tcW w:w="151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附记</w:t>
            </w:r>
          </w:p>
        </w:tc>
        <w:tc>
          <w:tcPr>
            <w:tcW w:w="828"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填发日期</w:t>
            </w:r>
          </w:p>
        </w:tc>
      </w:tr>
      <w:tr>
        <w:tblPrEx>
          <w:tblCellMar>
            <w:top w:w="0" w:type="dxa"/>
            <w:left w:w="0" w:type="dxa"/>
            <w:bottom w:w="0" w:type="dxa"/>
            <w:right w:w="0" w:type="dxa"/>
          </w:tblCellMar>
        </w:tblPrEx>
        <w:trPr>
          <w:trHeight w:val="397" w:hRule="atLeast"/>
          <w:jc w:val="center"/>
        </w:trPr>
        <w:tc>
          <w:tcPr>
            <w:tcW w:w="445" w:type="dxa"/>
            <w:vMerge w:val="restart"/>
            <w:tcBorders>
              <w:top w:val="single" w:color="000000" w:sz="4" w:space="0"/>
              <w:left w:val="single" w:color="000000" w:sz="4" w:space="0"/>
              <w:right w:val="single" w:color="000000" w:sz="4" w:space="0"/>
            </w:tcBorders>
            <w:vAlign w:val="center"/>
          </w:tcPr>
          <w:p>
            <w:pPr>
              <w:widowControl/>
              <w:spacing w:line="360" w:lineRule="exact"/>
              <w:jc w:val="center"/>
              <w:textAlignment w:val="center"/>
              <w:rPr>
                <w:rFonts w:hAnsi="宋体"/>
                <w:color w:val="000000"/>
                <w:kern w:val="0"/>
                <w:sz w:val="18"/>
                <w:szCs w:val="18"/>
              </w:rPr>
            </w:pPr>
            <w:r>
              <w:rPr>
                <w:rFonts w:hAnsi="宋体"/>
                <w:color w:val="000000"/>
                <w:kern w:val="0"/>
                <w:sz w:val="18"/>
                <w:szCs w:val="18"/>
              </w:rPr>
              <w:t>1</w:t>
            </w:r>
          </w:p>
        </w:tc>
        <w:tc>
          <w:tcPr>
            <w:tcW w:w="855" w:type="dxa"/>
            <w:vMerge w:val="restart"/>
            <w:tcBorders>
              <w:top w:val="single" w:color="000000" w:sz="4" w:space="0"/>
              <w:left w:val="single" w:color="000000" w:sz="4" w:space="0"/>
              <w:right w:val="single" w:color="auto" w:sz="4" w:space="0"/>
            </w:tcBorders>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蓉房权证成房监证字第</w:t>
            </w:r>
            <w:r>
              <w:rPr>
                <w:rFonts w:hAnsi="宋体"/>
                <w:color w:val="000000"/>
                <w:kern w:val="0"/>
                <w:sz w:val="18"/>
                <w:szCs w:val="18"/>
              </w:rPr>
              <w:t>0998455</w:t>
            </w:r>
            <w:r>
              <w:rPr>
                <w:rFonts w:hint="eastAsia" w:hAnsi="宋体"/>
                <w:color w:val="000000"/>
                <w:kern w:val="0"/>
                <w:sz w:val="18"/>
                <w:szCs w:val="18"/>
              </w:rPr>
              <w:t>号</w:t>
            </w:r>
          </w:p>
        </w:tc>
        <w:tc>
          <w:tcPr>
            <w:tcW w:w="764" w:type="dxa"/>
            <w:vMerge w:val="restart"/>
            <w:tcBorders>
              <w:top w:val="single" w:color="000000" w:sz="4" w:space="0"/>
              <w:left w:val="single" w:color="auto" w:sz="4" w:space="0"/>
              <w:right w:val="single" w:color="000000" w:sz="4" w:space="0"/>
            </w:tcBorders>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权</w:t>
            </w:r>
            <w:r>
              <w:rPr>
                <w:rFonts w:hAnsi="宋体"/>
                <w:color w:val="000000"/>
                <w:kern w:val="0"/>
                <w:sz w:val="18"/>
                <w:szCs w:val="18"/>
              </w:rPr>
              <w:t>0504764</w:t>
            </w:r>
          </w:p>
        </w:tc>
        <w:tc>
          <w:tcPr>
            <w:tcW w:w="8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成都中汇制药有限公司</w:t>
            </w:r>
          </w:p>
        </w:tc>
        <w:tc>
          <w:tcPr>
            <w:tcW w:w="567"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Ansi="宋体"/>
                <w:color w:val="000000"/>
                <w:kern w:val="0"/>
                <w:sz w:val="18"/>
                <w:szCs w:val="18"/>
              </w:rPr>
              <w:t>/</w:t>
            </w:r>
          </w:p>
        </w:tc>
        <w:tc>
          <w:tcPr>
            <w:tcW w:w="1067"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金牛区蜀西路</w:t>
            </w:r>
            <w:r>
              <w:rPr>
                <w:rFonts w:hAnsi="宋体"/>
                <w:color w:val="000000"/>
                <w:kern w:val="0"/>
                <w:sz w:val="18"/>
                <w:szCs w:val="18"/>
              </w:rPr>
              <w:t>30</w:t>
            </w:r>
            <w:r>
              <w:rPr>
                <w:rFonts w:hint="eastAsia" w:hAnsi="宋体"/>
                <w:color w:val="000000"/>
                <w:kern w:val="0"/>
                <w:sz w:val="18"/>
                <w:szCs w:val="18"/>
              </w:rPr>
              <w:t>号</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教育</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Ansi="宋体"/>
                <w:color w:val="000000"/>
                <w:kern w:val="0"/>
                <w:sz w:val="18"/>
                <w:szCs w:val="18"/>
              </w:rPr>
              <w:t>1-2</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Ansi="宋体"/>
                <w:color w:val="000000"/>
                <w:kern w:val="0"/>
                <w:sz w:val="18"/>
                <w:szCs w:val="18"/>
              </w:rPr>
              <w:t>585.00</w:t>
            </w:r>
          </w:p>
        </w:tc>
        <w:tc>
          <w:tcPr>
            <w:tcW w:w="1512" w:type="dxa"/>
            <w:vMerge w:val="restart"/>
            <w:tcBorders>
              <w:top w:val="single" w:color="000000" w:sz="4" w:space="0"/>
              <w:left w:val="single" w:color="000000" w:sz="4" w:space="0"/>
              <w:right w:val="single" w:color="auto"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东界：己房墙足</w:t>
            </w:r>
          </w:p>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西至：己房墙足</w:t>
            </w:r>
          </w:p>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南界：己房墙足</w:t>
            </w:r>
          </w:p>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北界：己房墙足</w:t>
            </w:r>
          </w:p>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幢号为单位自编号</w:t>
            </w:r>
          </w:p>
        </w:tc>
        <w:tc>
          <w:tcPr>
            <w:tcW w:w="828" w:type="dxa"/>
            <w:vMerge w:val="restart"/>
            <w:tcBorders>
              <w:top w:val="single" w:color="000000" w:sz="4" w:space="0"/>
              <w:left w:val="single" w:color="auto" w:sz="4" w:space="0"/>
              <w:right w:val="single" w:color="000000" w:sz="4" w:space="0"/>
            </w:tcBorders>
            <w:vAlign w:val="center"/>
          </w:tcPr>
          <w:p>
            <w:pPr>
              <w:widowControl/>
              <w:spacing w:line="360" w:lineRule="exact"/>
              <w:jc w:val="center"/>
              <w:textAlignment w:val="center"/>
              <w:rPr>
                <w:rFonts w:hAnsi="宋体"/>
                <w:color w:val="000000"/>
                <w:kern w:val="0"/>
                <w:sz w:val="18"/>
                <w:szCs w:val="18"/>
              </w:rPr>
            </w:pPr>
            <w:r>
              <w:rPr>
                <w:rFonts w:hAnsi="宋体"/>
                <w:color w:val="000000"/>
                <w:kern w:val="0"/>
                <w:sz w:val="18"/>
                <w:szCs w:val="18"/>
              </w:rPr>
              <w:t>2004</w:t>
            </w:r>
            <w:r>
              <w:rPr>
                <w:rFonts w:hint="eastAsia" w:hAnsi="宋体"/>
                <w:color w:val="000000"/>
                <w:kern w:val="0"/>
                <w:sz w:val="18"/>
                <w:szCs w:val="18"/>
              </w:rPr>
              <w:t>年</w:t>
            </w:r>
            <w:r>
              <w:rPr>
                <w:rFonts w:hAnsi="宋体"/>
                <w:color w:val="000000"/>
                <w:kern w:val="0"/>
                <w:sz w:val="18"/>
                <w:szCs w:val="18"/>
              </w:rPr>
              <w:t>02</w:t>
            </w:r>
            <w:r>
              <w:rPr>
                <w:rFonts w:hint="eastAsia" w:hAnsi="宋体"/>
                <w:color w:val="000000"/>
                <w:kern w:val="0"/>
                <w:sz w:val="18"/>
                <w:szCs w:val="18"/>
              </w:rPr>
              <w:t>月</w:t>
            </w:r>
            <w:r>
              <w:rPr>
                <w:rFonts w:hAnsi="宋体"/>
                <w:color w:val="000000"/>
                <w:kern w:val="0"/>
                <w:sz w:val="18"/>
                <w:szCs w:val="18"/>
              </w:rPr>
              <w:t>16</w:t>
            </w:r>
            <w:r>
              <w:rPr>
                <w:rFonts w:hint="eastAsia" w:hAnsi="宋体"/>
                <w:color w:val="000000"/>
                <w:kern w:val="0"/>
                <w:sz w:val="18"/>
                <w:szCs w:val="18"/>
              </w:rPr>
              <w:t>日</w:t>
            </w:r>
          </w:p>
        </w:tc>
      </w:tr>
      <w:tr>
        <w:tblPrEx>
          <w:tblCellMar>
            <w:top w:w="0" w:type="dxa"/>
            <w:left w:w="0" w:type="dxa"/>
            <w:bottom w:w="0" w:type="dxa"/>
            <w:right w:w="0" w:type="dxa"/>
          </w:tblCellMar>
        </w:tblPrEx>
        <w:trPr>
          <w:trHeight w:val="397" w:hRule="atLeast"/>
          <w:jc w:val="center"/>
        </w:trPr>
        <w:tc>
          <w:tcPr>
            <w:tcW w:w="445" w:type="dxa"/>
            <w:vMerge w:val="continue"/>
            <w:tcBorders>
              <w:left w:val="single" w:color="000000" w:sz="4" w:space="0"/>
              <w:bottom w:val="single" w:color="000000" w:sz="4" w:space="0"/>
              <w:right w:val="single" w:color="000000" w:sz="4" w:space="0"/>
            </w:tcBorders>
            <w:vAlign w:val="center"/>
          </w:tcPr>
          <w:p>
            <w:pPr>
              <w:widowControl/>
              <w:spacing w:line="360" w:lineRule="exact"/>
              <w:jc w:val="center"/>
              <w:textAlignment w:val="center"/>
              <w:rPr>
                <w:color w:val="000000"/>
                <w:kern w:val="0"/>
                <w:sz w:val="18"/>
                <w:szCs w:val="18"/>
              </w:rPr>
            </w:pPr>
          </w:p>
        </w:tc>
        <w:tc>
          <w:tcPr>
            <w:tcW w:w="855" w:type="dxa"/>
            <w:vMerge w:val="continue"/>
            <w:tcBorders>
              <w:left w:val="single" w:color="000000" w:sz="4" w:space="0"/>
              <w:bottom w:val="single" w:color="000000" w:sz="4" w:space="0"/>
              <w:right w:val="single" w:color="auto" w:sz="4" w:space="0"/>
            </w:tcBorders>
            <w:vAlign w:val="center"/>
          </w:tcPr>
          <w:p>
            <w:pPr>
              <w:widowControl/>
              <w:spacing w:line="360" w:lineRule="exact"/>
              <w:jc w:val="center"/>
              <w:textAlignment w:val="center"/>
              <w:rPr>
                <w:rFonts w:hAnsi="宋体"/>
                <w:color w:val="000000"/>
                <w:kern w:val="0"/>
                <w:sz w:val="18"/>
                <w:szCs w:val="18"/>
              </w:rPr>
            </w:pPr>
          </w:p>
        </w:tc>
        <w:tc>
          <w:tcPr>
            <w:tcW w:w="764" w:type="dxa"/>
            <w:vMerge w:val="continue"/>
            <w:tcBorders>
              <w:left w:val="single" w:color="auto" w:sz="4" w:space="0"/>
              <w:bottom w:val="single" w:color="000000" w:sz="4" w:space="0"/>
              <w:right w:val="single" w:color="000000" w:sz="4" w:space="0"/>
            </w:tcBorders>
            <w:vAlign w:val="center"/>
          </w:tcPr>
          <w:p>
            <w:pPr>
              <w:widowControl/>
              <w:spacing w:line="360" w:lineRule="exact"/>
              <w:jc w:val="center"/>
              <w:textAlignment w:val="center"/>
              <w:rPr>
                <w:rFonts w:hAnsi="宋体"/>
                <w:color w:val="000000"/>
                <w:kern w:val="0"/>
                <w:sz w:val="18"/>
                <w:szCs w:val="18"/>
              </w:rPr>
            </w:pPr>
          </w:p>
        </w:tc>
        <w:tc>
          <w:tcPr>
            <w:tcW w:w="89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kern w:val="0"/>
                <w:sz w:val="18"/>
                <w:szCs w:val="18"/>
              </w:rPr>
            </w:pPr>
          </w:p>
        </w:tc>
        <w:tc>
          <w:tcPr>
            <w:tcW w:w="567"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p>
        </w:tc>
        <w:tc>
          <w:tcPr>
            <w:tcW w:w="1067"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办公</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kern w:val="0"/>
                <w:sz w:val="18"/>
                <w:szCs w:val="18"/>
              </w:rPr>
            </w:pPr>
            <w:r>
              <w:rPr>
                <w:color w:val="000000"/>
                <w:kern w:val="0"/>
                <w:sz w:val="18"/>
                <w:szCs w:val="18"/>
              </w:rPr>
              <w:t>1-6</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kern w:val="0"/>
                <w:sz w:val="18"/>
                <w:szCs w:val="18"/>
              </w:rPr>
            </w:pPr>
            <w:r>
              <w:rPr>
                <w:color w:val="000000"/>
                <w:kern w:val="0"/>
                <w:sz w:val="18"/>
                <w:szCs w:val="18"/>
              </w:rPr>
              <w:t>3451.00</w:t>
            </w:r>
          </w:p>
        </w:tc>
        <w:tc>
          <w:tcPr>
            <w:tcW w:w="1512" w:type="dxa"/>
            <w:vMerge w:val="continue"/>
            <w:tcBorders>
              <w:left w:val="single" w:color="000000" w:sz="4" w:space="0"/>
              <w:bottom w:val="single" w:color="000000" w:sz="4" w:space="0"/>
              <w:right w:val="single" w:color="auto"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p>
        </w:tc>
        <w:tc>
          <w:tcPr>
            <w:tcW w:w="828" w:type="dxa"/>
            <w:vMerge w:val="continue"/>
            <w:tcBorders>
              <w:left w:val="single" w:color="auto" w:sz="4" w:space="0"/>
              <w:bottom w:val="single" w:color="000000" w:sz="4" w:space="0"/>
              <w:right w:val="single" w:color="000000" w:sz="4" w:space="0"/>
            </w:tcBorders>
            <w:vAlign w:val="center"/>
          </w:tcPr>
          <w:p>
            <w:pPr>
              <w:widowControl/>
              <w:spacing w:line="360" w:lineRule="exact"/>
              <w:jc w:val="center"/>
              <w:textAlignment w:val="center"/>
              <w:rPr>
                <w:rFonts w:hAnsi="宋体"/>
                <w:color w:val="000000"/>
                <w:kern w:val="0"/>
                <w:sz w:val="18"/>
                <w:szCs w:val="18"/>
              </w:rPr>
            </w:pPr>
          </w:p>
        </w:tc>
      </w:tr>
      <w:tr>
        <w:tblPrEx>
          <w:tblCellMar>
            <w:top w:w="0" w:type="dxa"/>
            <w:left w:w="0" w:type="dxa"/>
            <w:bottom w:w="0" w:type="dxa"/>
            <w:right w:w="0"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textAlignment w:val="center"/>
              <w:rPr>
                <w:color w:val="000000"/>
                <w:sz w:val="18"/>
                <w:szCs w:val="18"/>
              </w:rPr>
            </w:pPr>
            <w:r>
              <w:rPr>
                <w:color w:val="000000"/>
                <w:kern w:val="0"/>
                <w:sz w:val="18"/>
                <w:szCs w:val="18"/>
              </w:rPr>
              <w:t>2</w:t>
            </w:r>
          </w:p>
        </w:tc>
        <w:tc>
          <w:tcPr>
            <w:tcW w:w="855" w:type="dxa"/>
            <w:tcBorders>
              <w:top w:val="single" w:color="000000" w:sz="4" w:space="0"/>
              <w:left w:val="single" w:color="000000" w:sz="4" w:space="0"/>
              <w:bottom w:val="single" w:color="000000" w:sz="4" w:space="0"/>
              <w:right w:val="single" w:color="auto" w:sz="4" w:space="0"/>
            </w:tcBorders>
            <w:vAlign w:val="center"/>
          </w:tcPr>
          <w:p>
            <w:pPr>
              <w:widowControl/>
              <w:spacing w:line="360" w:lineRule="exact"/>
              <w:jc w:val="center"/>
              <w:textAlignment w:val="center"/>
              <w:rPr>
                <w:color w:val="000000"/>
                <w:sz w:val="18"/>
                <w:szCs w:val="18"/>
              </w:rPr>
            </w:pPr>
            <w:r>
              <w:rPr>
                <w:rFonts w:hint="eastAsia" w:hAnsi="宋体"/>
                <w:color w:val="000000"/>
                <w:kern w:val="0"/>
                <w:sz w:val="18"/>
                <w:szCs w:val="18"/>
              </w:rPr>
              <w:t>成房权证监证字第</w:t>
            </w:r>
            <w:r>
              <w:rPr>
                <w:color w:val="000000"/>
                <w:kern w:val="0"/>
                <w:sz w:val="18"/>
                <w:szCs w:val="18"/>
              </w:rPr>
              <w:t>2069856</w:t>
            </w:r>
            <w:r>
              <w:rPr>
                <w:rFonts w:hint="eastAsia" w:hAnsi="宋体"/>
                <w:color w:val="000000"/>
                <w:kern w:val="0"/>
                <w:sz w:val="18"/>
                <w:szCs w:val="18"/>
              </w:rPr>
              <w:t>号</w:t>
            </w:r>
          </w:p>
        </w:tc>
        <w:tc>
          <w:tcPr>
            <w:tcW w:w="764"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center"/>
              <w:textAlignment w:val="center"/>
              <w:rPr>
                <w:color w:val="000000"/>
                <w:sz w:val="18"/>
                <w:szCs w:val="18"/>
              </w:rPr>
            </w:pPr>
            <w:r>
              <w:rPr>
                <w:rFonts w:hint="eastAsia"/>
                <w:color w:val="000000"/>
                <w:sz w:val="18"/>
                <w:szCs w:val="18"/>
              </w:rPr>
              <w:t>权</w:t>
            </w:r>
            <w:r>
              <w:rPr>
                <w:color w:val="000000"/>
                <w:sz w:val="18"/>
                <w:szCs w:val="18"/>
              </w:rPr>
              <w:t>0504762</w:t>
            </w:r>
          </w:p>
        </w:tc>
        <w:tc>
          <w:tcPr>
            <w:tcW w:w="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exact"/>
              <w:jc w:val="center"/>
              <w:rPr>
                <w:color w:val="000000"/>
              </w:rPr>
            </w:pPr>
            <w:r>
              <w:rPr>
                <w:rFonts w:hint="eastAsia" w:hAnsi="宋体"/>
                <w:color w:val="000000"/>
                <w:kern w:val="0"/>
                <w:sz w:val="18"/>
                <w:szCs w:val="18"/>
              </w:rPr>
              <w:t>成都中汇制药有限公司</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单独</w:t>
            </w:r>
          </w:p>
          <w:p>
            <w:pPr>
              <w:widowControl/>
              <w:spacing w:line="360" w:lineRule="exact"/>
              <w:jc w:val="center"/>
              <w:textAlignment w:val="center"/>
              <w:rPr>
                <w:color w:val="000000"/>
                <w:sz w:val="18"/>
                <w:szCs w:val="18"/>
              </w:rPr>
            </w:pPr>
            <w:r>
              <w:rPr>
                <w:rFonts w:hint="eastAsia" w:hAnsi="宋体"/>
                <w:color w:val="000000"/>
                <w:kern w:val="0"/>
                <w:sz w:val="18"/>
                <w:szCs w:val="18"/>
              </w:rPr>
              <w:t>所有</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rFonts w:hint="eastAsia" w:hAnsi="宋体"/>
                <w:color w:val="000000"/>
                <w:kern w:val="0"/>
                <w:sz w:val="18"/>
                <w:szCs w:val="18"/>
              </w:rPr>
              <w:t>金牛区蜀西路</w:t>
            </w:r>
            <w:r>
              <w:rPr>
                <w:rFonts w:hAnsi="宋体"/>
                <w:color w:val="000000"/>
                <w:kern w:val="0"/>
                <w:sz w:val="18"/>
                <w:szCs w:val="18"/>
              </w:rPr>
              <w:t>30</w:t>
            </w:r>
            <w:r>
              <w:rPr>
                <w:rFonts w:hint="eastAsia" w:hAnsi="宋体"/>
                <w:color w:val="000000"/>
                <w:kern w:val="0"/>
                <w:sz w:val="18"/>
                <w:szCs w:val="18"/>
              </w:rPr>
              <w:t>号</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rFonts w:hint="eastAsia" w:hAnsi="宋体"/>
                <w:color w:val="000000"/>
                <w:kern w:val="0"/>
                <w:sz w:val="18"/>
                <w:szCs w:val="18"/>
              </w:rPr>
              <w:t>其它、住宅</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color w:val="000000"/>
                <w:kern w:val="0"/>
                <w:sz w:val="18"/>
                <w:szCs w:val="18"/>
              </w:rPr>
              <w:t>6</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color w:val="000000"/>
                <w:kern w:val="0"/>
                <w:sz w:val="18"/>
                <w:szCs w:val="18"/>
              </w:rPr>
              <w:t>3634</w:t>
            </w:r>
          </w:p>
        </w:tc>
        <w:tc>
          <w:tcPr>
            <w:tcW w:w="151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地址明细信息：</w:t>
            </w:r>
            <w:r>
              <w:rPr>
                <w:rFonts w:hAnsi="宋体"/>
                <w:color w:val="000000"/>
                <w:kern w:val="0"/>
                <w:sz w:val="18"/>
                <w:szCs w:val="18"/>
              </w:rPr>
              <w:t>3</w:t>
            </w:r>
            <w:r>
              <w:rPr>
                <w:rFonts w:hint="eastAsia" w:hAnsi="宋体"/>
                <w:color w:val="000000"/>
                <w:kern w:val="0"/>
                <w:sz w:val="18"/>
                <w:szCs w:val="18"/>
              </w:rPr>
              <w:t>栋</w:t>
            </w:r>
            <w:r>
              <w:rPr>
                <w:rFonts w:hAnsi="宋体"/>
                <w:color w:val="000000"/>
                <w:kern w:val="0"/>
                <w:sz w:val="18"/>
                <w:szCs w:val="18"/>
              </w:rPr>
              <w:t>1</w:t>
            </w:r>
            <w:r>
              <w:rPr>
                <w:rFonts w:hint="eastAsia" w:hAnsi="宋体"/>
                <w:color w:val="000000"/>
                <w:kern w:val="0"/>
                <w:sz w:val="18"/>
                <w:szCs w:val="18"/>
              </w:rPr>
              <w:t>层为其它，建筑面积</w:t>
            </w:r>
            <w:r>
              <w:rPr>
                <w:rFonts w:hAnsi="宋体"/>
                <w:color w:val="000000"/>
                <w:kern w:val="0"/>
                <w:sz w:val="18"/>
                <w:szCs w:val="18"/>
              </w:rPr>
              <w:t>732</w:t>
            </w:r>
            <w:r>
              <w:rPr>
                <w:rFonts w:hint="eastAsia" w:hAnsi="宋体"/>
                <w:color w:val="000000"/>
                <w:kern w:val="0"/>
                <w:sz w:val="18"/>
                <w:szCs w:val="18"/>
              </w:rPr>
              <w:t>㎡。</w:t>
            </w:r>
            <w:r>
              <w:rPr>
                <w:rFonts w:hAnsi="宋体"/>
                <w:color w:val="000000"/>
                <w:kern w:val="0"/>
                <w:sz w:val="18"/>
                <w:szCs w:val="18"/>
              </w:rPr>
              <w:t>3</w:t>
            </w:r>
            <w:r>
              <w:rPr>
                <w:rFonts w:hint="eastAsia" w:hAnsi="宋体"/>
                <w:color w:val="000000"/>
                <w:kern w:val="0"/>
                <w:sz w:val="18"/>
                <w:szCs w:val="18"/>
              </w:rPr>
              <w:t>栋</w:t>
            </w:r>
            <w:r>
              <w:rPr>
                <w:rFonts w:hAnsi="宋体"/>
                <w:color w:val="000000"/>
                <w:kern w:val="0"/>
                <w:sz w:val="18"/>
                <w:szCs w:val="18"/>
              </w:rPr>
              <w:t>1-6</w:t>
            </w:r>
            <w:r>
              <w:rPr>
                <w:rFonts w:hint="eastAsia" w:hAnsi="宋体"/>
                <w:color w:val="000000"/>
                <w:kern w:val="0"/>
                <w:sz w:val="18"/>
                <w:szCs w:val="18"/>
              </w:rPr>
              <w:t>层为住宅，建筑面积</w:t>
            </w:r>
            <w:r>
              <w:rPr>
                <w:rFonts w:hAnsi="宋体"/>
                <w:color w:val="000000"/>
                <w:kern w:val="0"/>
                <w:sz w:val="18"/>
                <w:szCs w:val="18"/>
              </w:rPr>
              <w:t>2902</w:t>
            </w:r>
            <w:r>
              <w:rPr>
                <w:rFonts w:hint="eastAsia" w:hAnsi="宋体"/>
                <w:color w:val="000000"/>
                <w:kern w:val="0"/>
                <w:sz w:val="18"/>
                <w:szCs w:val="18"/>
              </w:rPr>
              <w:t>㎡</w:t>
            </w:r>
          </w:p>
        </w:tc>
        <w:tc>
          <w:tcPr>
            <w:tcW w:w="828"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center"/>
              <w:textAlignment w:val="center"/>
              <w:rPr>
                <w:color w:val="000000"/>
                <w:sz w:val="18"/>
                <w:szCs w:val="18"/>
              </w:rPr>
            </w:pPr>
            <w:r>
              <w:rPr>
                <w:color w:val="000000"/>
                <w:sz w:val="18"/>
                <w:szCs w:val="18"/>
              </w:rPr>
              <w:t>2009</w:t>
            </w:r>
            <w:r>
              <w:rPr>
                <w:rFonts w:hint="eastAsia"/>
                <w:color w:val="000000"/>
                <w:sz w:val="18"/>
                <w:szCs w:val="18"/>
              </w:rPr>
              <w:t>年</w:t>
            </w:r>
            <w:r>
              <w:rPr>
                <w:color w:val="000000"/>
                <w:sz w:val="18"/>
                <w:szCs w:val="18"/>
              </w:rPr>
              <w:t>10</w:t>
            </w:r>
            <w:r>
              <w:rPr>
                <w:rFonts w:hint="eastAsia"/>
                <w:color w:val="000000"/>
                <w:sz w:val="18"/>
                <w:szCs w:val="18"/>
              </w:rPr>
              <w:t>月</w:t>
            </w:r>
            <w:r>
              <w:rPr>
                <w:color w:val="000000"/>
                <w:sz w:val="18"/>
                <w:szCs w:val="18"/>
              </w:rPr>
              <w:t>14</w:t>
            </w:r>
            <w:r>
              <w:rPr>
                <w:rFonts w:hint="eastAsia"/>
                <w:color w:val="000000"/>
                <w:sz w:val="18"/>
                <w:szCs w:val="18"/>
              </w:rPr>
              <w:t>日</w:t>
            </w:r>
          </w:p>
        </w:tc>
      </w:tr>
      <w:tr>
        <w:tblPrEx>
          <w:tblCellMar>
            <w:top w:w="0" w:type="dxa"/>
            <w:left w:w="0" w:type="dxa"/>
            <w:bottom w:w="0" w:type="dxa"/>
            <w:right w:w="0"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textAlignment w:val="center"/>
              <w:rPr>
                <w:color w:val="000000"/>
                <w:sz w:val="18"/>
                <w:szCs w:val="18"/>
              </w:rPr>
            </w:pPr>
            <w:r>
              <w:rPr>
                <w:color w:val="000000"/>
                <w:kern w:val="0"/>
                <w:sz w:val="18"/>
                <w:szCs w:val="18"/>
              </w:rPr>
              <w:t>3</w:t>
            </w:r>
          </w:p>
        </w:tc>
        <w:tc>
          <w:tcPr>
            <w:tcW w:w="855" w:type="dxa"/>
            <w:tcBorders>
              <w:top w:val="single" w:color="000000" w:sz="4" w:space="0"/>
              <w:left w:val="single" w:color="000000" w:sz="4" w:space="0"/>
              <w:bottom w:val="single" w:color="000000" w:sz="4" w:space="0"/>
              <w:right w:val="single" w:color="auto" w:sz="4" w:space="0"/>
            </w:tcBorders>
            <w:vAlign w:val="center"/>
          </w:tcPr>
          <w:p>
            <w:pPr>
              <w:widowControl/>
              <w:spacing w:line="360" w:lineRule="exact"/>
              <w:jc w:val="center"/>
              <w:textAlignment w:val="center"/>
              <w:rPr>
                <w:color w:val="000000"/>
                <w:sz w:val="18"/>
                <w:szCs w:val="18"/>
              </w:rPr>
            </w:pPr>
            <w:r>
              <w:rPr>
                <w:rFonts w:hint="eastAsia" w:hAnsi="宋体"/>
                <w:color w:val="000000"/>
                <w:kern w:val="0"/>
                <w:sz w:val="18"/>
                <w:szCs w:val="18"/>
              </w:rPr>
              <w:t>成房权证监证字第</w:t>
            </w:r>
            <w:r>
              <w:rPr>
                <w:color w:val="000000"/>
                <w:kern w:val="0"/>
                <w:sz w:val="18"/>
                <w:szCs w:val="18"/>
              </w:rPr>
              <w:t>2069860</w:t>
            </w:r>
            <w:r>
              <w:rPr>
                <w:rFonts w:hint="eastAsia" w:hAnsi="宋体"/>
                <w:color w:val="000000"/>
                <w:kern w:val="0"/>
                <w:sz w:val="18"/>
                <w:szCs w:val="18"/>
              </w:rPr>
              <w:t>号</w:t>
            </w:r>
          </w:p>
        </w:tc>
        <w:tc>
          <w:tcPr>
            <w:tcW w:w="764"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center"/>
              <w:textAlignment w:val="center"/>
              <w:rPr>
                <w:color w:val="000000"/>
                <w:sz w:val="18"/>
                <w:szCs w:val="18"/>
              </w:rPr>
            </w:pPr>
            <w:r>
              <w:rPr>
                <w:rFonts w:hint="eastAsia"/>
                <w:color w:val="000000"/>
                <w:sz w:val="18"/>
                <w:szCs w:val="18"/>
              </w:rPr>
              <w:t>权</w:t>
            </w:r>
            <w:r>
              <w:rPr>
                <w:color w:val="000000"/>
                <w:sz w:val="18"/>
                <w:szCs w:val="18"/>
              </w:rPr>
              <w:t>0504763</w:t>
            </w:r>
          </w:p>
        </w:tc>
        <w:tc>
          <w:tcPr>
            <w:tcW w:w="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exact"/>
              <w:jc w:val="center"/>
              <w:rPr>
                <w:color w:val="000000"/>
              </w:rPr>
            </w:pPr>
            <w:r>
              <w:rPr>
                <w:rFonts w:hint="eastAsia" w:hAnsi="宋体"/>
                <w:color w:val="000000"/>
                <w:kern w:val="0"/>
                <w:sz w:val="18"/>
                <w:szCs w:val="18"/>
              </w:rPr>
              <w:t>成都中汇制药有限公司</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单独</w:t>
            </w:r>
          </w:p>
          <w:p>
            <w:pPr>
              <w:widowControl/>
              <w:spacing w:line="360" w:lineRule="exact"/>
              <w:jc w:val="center"/>
              <w:textAlignment w:val="center"/>
              <w:rPr>
                <w:color w:val="000000"/>
                <w:sz w:val="18"/>
                <w:szCs w:val="18"/>
              </w:rPr>
            </w:pPr>
            <w:r>
              <w:rPr>
                <w:rFonts w:hint="eastAsia" w:hAnsi="宋体"/>
                <w:color w:val="000000"/>
                <w:kern w:val="0"/>
                <w:sz w:val="18"/>
                <w:szCs w:val="18"/>
              </w:rPr>
              <w:t>所有</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rFonts w:hint="eastAsia" w:hAnsi="宋体"/>
                <w:color w:val="000000"/>
                <w:kern w:val="0"/>
                <w:sz w:val="18"/>
                <w:szCs w:val="18"/>
              </w:rPr>
              <w:t>金牛区蜀西路</w:t>
            </w:r>
            <w:r>
              <w:rPr>
                <w:rFonts w:hAnsi="宋体"/>
                <w:color w:val="000000"/>
                <w:kern w:val="0"/>
                <w:sz w:val="18"/>
                <w:szCs w:val="18"/>
              </w:rPr>
              <w:t>30</w:t>
            </w:r>
            <w:r>
              <w:rPr>
                <w:rFonts w:hint="eastAsia" w:hAnsi="宋体"/>
                <w:color w:val="000000"/>
                <w:kern w:val="0"/>
                <w:sz w:val="18"/>
                <w:szCs w:val="18"/>
              </w:rPr>
              <w:t>号</w:t>
            </w:r>
            <w:r>
              <w:rPr>
                <w:rFonts w:hAnsi="宋体"/>
                <w:color w:val="000000"/>
                <w:kern w:val="0"/>
                <w:sz w:val="18"/>
                <w:szCs w:val="18"/>
              </w:rPr>
              <w:t>2</w:t>
            </w:r>
            <w:r>
              <w:rPr>
                <w:rFonts w:hint="eastAsia" w:hAnsi="宋体"/>
                <w:color w:val="000000"/>
                <w:kern w:val="0"/>
                <w:sz w:val="18"/>
                <w:szCs w:val="18"/>
              </w:rPr>
              <w:t>栋</w:t>
            </w:r>
            <w:r>
              <w:rPr>
                <w:rFonts w:hAnsi="宋体"/>
                <w:color w:val="000000"/>
                <w:kern w:val="0"/>
                <w:sz w:val="18"/>
                <w:szCs w:val="18"/>
              </w:rPr>
              <w:t>1-2</w:t>
            </w:r>
            <w:r>
              <w:rPr>
                <w:rFonts w:hint="eastAsia" w:hAnsi="宋体"/>
                <w:color w:val="000000"/>
                <w:kern w:val="0"/>
                <w:sz w:val="18"/>
                <w:szCs w:val="18"/>
              </w:rPr>
              <w:t>层</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rFonts w:hint="eastAsia" w:hAnsi="宋体"/>
                <w:color w:val="000000"/>
                <w:kern w:val="0"/>
                <w:sz w:val="18"/>
                <w:szCs w:val="18"/>
              </w:rPr>
              <w:t>工厂</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color w:val="000000"/>
                <w:kern w:val="0"/>
                <w:sz w:val="18"/>
                <w:szCs w:val="18"/>
              </w:rPr>
              <w:t>3</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color w:val="000000"/>
                <w:kern w:val="0"/>
                <w:sz w:val="18"/>
                <w:szCs w:val="18"/>
              </w:rPr>
              <w:t>15876</w:t>
            </w:r>
          </w:p>
        </w:tc>
        <w:tc>
          <w:tcPr>
            <w:tcW w:w="151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color w:val="000000"/>
                <w:sz w:val="18"/>
                <w:szCs w:val="18"/>
              </w:rPr>
              <w:t>/</w:t>
            </w:r>
          </w:p>
        </w:tc>
        <w:tc>
          <w:tcPr>
            <w:tcW w:w="828"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center"/>
              <w:textAlignment w:val="center"/>
              <w:rPr>
                <w:color w:val="000000"/>
                <w:sz w:val="18"/>
                <w:szCs w:val="18"/>
              </w:rPr>
            </w:pPr>
            <w:r>
              <w:rPr>
                <w:color w:val="000000"/>
                <w:sz w:val="18"/>
                <w:szCs w:val="18"/>
              </w:rPr>
              <w:t>2009</w:t>
            </w:r>
            <w:r>
              <w:rPr>
                <w:rFonts w:hint="eastAsia"/>
                <w:color w:val="000000"/>
                <w:sz w:val="18"/>
                <w:szCs w:val="18"/>
              </w:rPr>
              <w:t>年</w:t>
            </w:r>
            <w:r>
              <w:rPr>
                <w:color w:val="000000"/>
                <w:sz w:val="18"/>
                <w:szCs w:val="18"/>
              </w:rPr>
              <w:t>10</w:t>
            </w:r>
            <w:r>
              <w:rPr>
                <w:rFonts w:hint="eastAsia"/>
                <w:color w:val="000000"/>
                <w:sz w:val="18"/>
                <w:szCs w:val="18"/>
              </w:rPr>
              <w:t>月</w:t>
            </w:r>
            <w:r>
              <w:rPr>
                <w:color w:val="000000"/>
                <w:sz w:val="18"/>
                <w:szCs w:val="18"/>
              </w:rPr>
              <w:t>14</w:t>
            </w:r>
            <w:r>
              <w:rPr>
                <w:rFonts w:hint="eastAsia"/>
                <w:color w:val="000000"/>
                <w:sz w:val="18"/>
                <w:szCs w:val="18"/>
              </w:rPr>
              <w:t>日</w:t>
            </w:r>
          </w:p>
        </w:tc>
      </w:tr>
      <w:tr>
        <w:tblPrEx>
          <w:tblCellMar>
            <w:top w:w="0" w:type="dxa"/>
            <w:left w:w="0" w:type="dxa"/>
            <w:bottom w:w="0" w:type="dxa"/>
            <w:right w:w="0" w:type="dxa"/>
          </w:tblCellMar>
        </w:tblPrEx>
        <w:trPr>
          <w:trHeight w:val="397" w:hRule="atLeast"/>
          <w:jc w:val="center"/>
        </w:trPr>
        <w:tc>
          <w:tcPr>
            <w:tcW w:w="44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textAlignment w:val="center"/>
              <w:rPr>
                <w:color w:val="000000"/>
                <w:sz w:val="18"/>
                <w:szCs w:val="18"/>
              </w:rPr>
            </w:pPr>
            <w:r>
              <w:rPr>
                <w:color w:val="000000"/>
                <w:kern w:val="0"/>
                <w:sz w:val="18"/>
                <w:szCs w:val="18"/>
              </w:rPr>
              <w:t>4</w:t>
            </w:r>
          </w:p>
        </w:tc>
        <w:tc>
          <w:tcPr>
            <w:tcW w:w="855" w:type="dxa"/>
            <w:tcBorders>
              <w:top w:val="single" w:color="000000" w:sz="4" w:space="0"/>
              <w:left w:val="single" w:color="000000" w:sz="4" w:space="0"/>
              <w:bottom w:val="single" w:color="000000" w:sz="4" w:space="0"/>
              <w:right w:val="single" w:color="auto" w:sz="4" w:space="0"/>
            </w:tcBorders>
            <w:vAlign w:val="center"/>
          </w:tcPr>
          <w:p>
            <w:pPr>
              <w:widowControl/>
              <w:spacing w:line="360" w:lineRule="exact"/>
              <w:jc w:val="center"/>
              <w:textAlignment w:val="center"/>
              <w:rPr>
                <w:color w:val="000000"/>
                <w:sz w:val="18"/>
                <w:szCs w:val="18"/>
              </w:rPr>
            </w:pPr>
            <w:r>
              <w:rPr>
                <w:rFonts w:hint="eastAsia" w:hAnsi="宋体"/>
                <w:color w:val="000000"/>
                <w:kern w:val="0"/>
                <w:sz w:val="18"/>
                <w:szCs w:val="18"/>
              </w:rPr>
              <w:t>成房权证监证字第</w:t>
            </w:r>
            <w:r>
              <w:rPr>
                <w:color w:val="000000"/>
                <w:kern w:val="0"/>
                <w:sz w:val="18"/>
                <w:szCs w:val="18"/>
              </w:rPr>
              <w:t>2069857</w:t>
            </w:r>
            <w:r>
              <w:rPr>
                <w:rFonts w:hint="eastAsia" w:hAnsi="宋体"/>
                <w:color w:val="000000"/>
                <w:kern w:val="0"/>
                <w:sz w:val="18"/>
                <w:szCs w:val="18"/>
              </w:rPr>
              <w:t>号</w:t>
            </w:r>
          </w:p>
        </w:tc>
        <w:tc>
          <w:tcPr>
            <w:tcW w:w="764"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center"/>
              <w:textAlignment w:val="center"/>
              <w:rPr>
                <w:color w:val="000000"/>
                <w:sz w:val="18"/>
                <w:szCs w:val="18"/>
              </w:rPr>
            </w:pPr>
            <w:r>
              <w:rPr>
                <w:rFonts w:hint="eastAsia"/>
                <w:color w:val="000000"/>
                <w:sz w:val="18"/>
                <w:szCs w:val="18"/>
              </w:rPr>
              <w:t>权</w:t>
            </w:r>
            <w:r>
              <w:rPr>
                <w:color w:val="000000"/>
                <w:sz w:val="18"/>
                <w:szCs w:val="18"/>
              </w:rPr>
              <w:t>0958674</w:t>
            </w:r>
          </w:p>
        </w:tc>
        <w:tc>
          <w:tcPr>
            <w:tcW w:w="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exact"/>
              <w:jc w:val="center"/>
              <w:rPr>
                <w:color w:val="000000"/>
              </w:rPr>
            </w:pPr>
            <w:r>
              <w:rPr>
                <w:rFonts w:hint="eastAsia" w:hAnsi="宋体"/>
                <w:color w:val="000000"/>
                <w:kern w:val="0"/>
                <w:sz w:val="18"/>
                <w:szCs w:val="18"/>
              </w:rPr>
              <w:t>成都中汇制药有限公司</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rFonts w:hAnsi="宋体"/>
                <w:color w:val="000000"/>
                <w:kern w:val="0"/>
                <w:sz w:val="18"/>
                <w:szCs w:val="18"/>
              </w:rPr>
            </w:pPr>
            <w:r>
              <w:rPr>
                <w:rFonts w:hint="eastAsia" w:hAnsi="宋体"/>
                <w:color w:val="000000"/>
                <w:kern w:val="0"/>
                <w:sz w:val="18"/>
                <w:szCs w:val="18"/>
              </w:rPr>
              <w:t>单独</w:t>
            </w:r>
          </w:p>
          <w:p>
            <w:pPr>
              <w:widowControl/>
              <w:spacing w:line="360" w:lineRule="exact"/>
              <w:jc w:val="center"/>
              <w:textAlignment w:val="center"/>
              <w:rPr>
                <w:color w:val="000000"/>
                <w:sz w:val="18"/>
                <w:szCs w:val="18"/>
              </w:rPr>
            </w:pPr>
            <w:r>
              <w:rPr>
                <w:rFonts w:hint="eastAsia" w:hAnsi="宋体"/>
                <w:color w:val="000000"/>
                <w:kern w:val="0"/>
                <w:sz w:val="18"/>
                <w:szCs w:val="18"/>
              </w:rPr>
              <w:t>所有</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rFonts w:hint="eastAsia" w:hAnsi="宋体"/>
                <w:color w:val="000000"/>
                <w:kern w:val="0"/>
                <w:sz w:val="18"/>
                <w:szCs w:val="18"/>
              </w:rPr>
              <w:t>金牛区蜀西路</w:t>
            </w:r>
            <w:r>
              <w:rPr>
                <w:rFonts w:hAnsi="宋体"/>
                <w:color w:val="000000"/>
                <w:kern w:val="0"/>
                <w:sz w:val="18"/>
                <w:szCs w:val="18"/>
              </w:rPr>
              <w:t>30</w:t>
            </w:r>
            <w:r>
              <w:rPr>
                <w:rFonts w:hint="eastAsia" w:hAnsi="宋体"/>
                <w:color w:val="000000"/>
                <w:kern w:val="0"/>
                <w:sz w:val="18"/>
                <w:szCs w:val="18"/>
              </w:rPr>
              <w:t>号</w:t>
            </w:r>
            <w:r>
              <w:rPr>
                <w:rFonts w:hAnsi="宋体"/>
                <w:color w:val="000000"/>
                <w:kern w:val="0"/>
                <w:sz w:val="18"/>
                <w:szCs w:val="18"/>
              </w:rPr>
              <w:t>2</w:t>
            </w:r>
            <w:r>
              <w:rPr>
                <w:rFonts w:hint="eastAsia" w:hAnsi="宋体"/>
                <w:color w:val="000000"/>
                <w:kern w:val="0"/>
                <w:sz w:val="18"/>
                <w:szCs w:val="18"/>
              </w:rPr>
              <w:t>栋</w:t>
            </w:r>
            <w:r>
              <w:rPr>
                <w:rFonts w:hAnsi="宋体"/>
                <w:color w:val="000000"/>
                <w:kern w:val="0"/>
                <w:sz w:val="18"/>
                <w:szCs w:val="18"/>
              </w:rPr>
              <w:t>3</w:t>
            </w:r>
            <w:r>
              <w:rPr>
                <w:rFonts w:hint="eastAsia" w:hAnsi="宋体"/>
                <w:color w:val="000000"/>
                <w:kern w:val="0"/>
                <w:sz w:val="18"/>
                <w:szCs w:val="18"/>
              </w:rPr>
              <w:t>层</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rFonts w:hint="eastAsia" w:hAnsi="宋体"/>
                <w:color w:val="000000"/>
                <w:kern w:val="0"/>
                <w:sz w:val="18"/>
                <w:szCs w:val="18"/>
              </w:rPr>
              <w:t>工厂</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color w:val="000000"/>
                <w:kern w:val="0"/>
                <w:sz w:val="18"/>
                <w:szCs w:val="18"/>
              </w:rPr>
              <w:t>3</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color w:val="000000"/>
                <w:kern w:val="0"/>
                <w:sz w:val="18"/>
                <w:szCs w:val="18"/>
              </w:rPr>
              <w:t>7893</w:t>
            </w:r>
          </w:p>
        </w:tc>
        <w:tc>
          <w:tcPr>
            <w:tcW w:w="1512"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360" w:lineRule="exact"/>
              <w:jc w:val="center"/>
              <w:textAlignment w:val="center"/>
              <w:rPr>
                <w:color w:val="000000"/>
                <w:sz w:val="18"/>
                <w:szCs w:val="18"/>
              </w:rPr>
            </w:pPr>
            <w:r>
              <w:rPr>
                <w:rFonts w:hAnsi="宋体"/>
                <w:color w:val="000000"/>
                <w:kern w:val="0"/>
                <w:sz w:val="18"/>
                <w:szCs w:val="18"/>
              </w:rPr>
              <w:t>/</w:t>
            </w:r>
          </w:p>
        </w:tc>
        <w:tc>
          <w:tcPr>
            <w:tcW w:w="828"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jc w:val="center"/>
              <w:textAlignment w:val="center"/>
              <w:rPr>
                <w:color w:val="000000"/>
                <w:sz w:val="18"/>
                <w:szCs w:val="18"/>
              </w:rPr>
            </w:pPr>
            <w:r>
              <w:rPr>
                <w:color w:val="000000"/>
                <w:sz w:val="18"/>
                <w:szCs w:val="18"/>
              </w:rPr>
              <w:t>2009</w:t>
            </w:r>
            <w:r>
              <w:rPr>
                <w:rFonts w:hint="eastAsia"/>
                <w:color w:val="000000"/>
                <w:sz w:val="18"/>
                <w:szCs w:val="18"/>
              </w:rPr>
              <w:t>年</w:t>
            </w:r>
            <w:r>
              <w:rPr>
                <w:color w:val="000000"/>
                <w:sz w:val="18"/>
                <w:szCs w:val="18"/>
              </w:rPr>
              <w:t>10</w:t>
            </w:r>
            <w:r>
              <w:rPr>
                <w:rFonts w:hint="eastAsia"/>
                <w:color w:val="000000"/>
                <w:sz w:val="18"/>
                <w:szCs w:val="18"/>
              </w:rPr>
              <w:t>月</w:t>
            </w:r>
            <w:r>
              <w:rPr>
                <w:color w:val="000000"/>
                <w:sz w:val="18"/>
                <w:szCs w:val="18"/>
              </w:rPr>
              <w:t>14</w:t>
            </w:r>
            <w:r>
              <w:rPr>
                <w:rFonts w:hint="eastAsia"/>
                <w:color w:val="000000"/>
                <w:sz w:val="18"/>
                <w:szCs w:val="18"/>
              </w:rPr>
              <w:t>日</w:t>
            </w:r>
          </w:p>
        </w:tc>
      </w:tr>
    </w:tbl>
    <w:p>
      <w:pPr>
        <w:spacing w:line="540" w:lineRule="exact"/>
        <w:ind w:firstLine="480" w:firstLineChars="200"/>
        <w:rPr>
          <w:rFonts w:cs="宋体"/>
          <w:color w:val="000000"/>
          <w:sz w:val="24"/>
        </w:rPr>
      </w:pPr>
      <w:r>
        <w:rPr>
          <w:rFonts w:cs="宋体"/>
          <w:color w:val="000000"/>
          <w:sz w:val="24"/>
        </w:rPr>
        <w:t>3</w:t>
      </w:r>
      <w:r>
        <w:rPr>
          <w:rFonts w:hint="eastAsia" w:cs="宋体"/>
          <w:color w:val="000000"/>
          <w:sz w:val="24"/>
        </w:rPr>
        <w:t>、</w:t>
      </w:r>
      <w:r>
        <w:rPr>
          <w:rFonts w:hint="eastAsia" w:hAnsi="宋体"/>
          <w:color w:val="000000"/>
          <w:sz w:val="24"/>
        </w:rPr>
        <w:t>成勘测</w:t>
      </w:r>
      <w:r>
        <w:rPr>
          <w:rFonts w:hAnsi="宋体"/>
          <w:color w:val="000000"/>
          <w:sz w:val="24"/>
        </w:rPr>
        <w:t>S2022-12466-1</w:t>
      </w:r>
      <w:r>
        <w:rPr>
          <w:rFonts w:hint="eastAsia" w:hAnsi="宋体"/>
          <w:color w:val="000000"/>
          <w:sz w:val="24"/>
        </w:rPr>
        <w:t>《房屋建筑面积测绘成果报告（建筑面积实测）》</w:t>
      </w:r>
      <w:r>
        <w:rPr>
          <w:rFonts w:hint="eastAsia" w:cs="宋体"/>
          <w:color w:val="000000"/>
          <w:sz w:val="24"/>
        </w:rPr>
        <w:t>主要登记状况</w:t>
      </w:r>
    </w:p>
    <w:p>
      <w:pPr>
        <w:jc w:val="center"/>
        <w:rPr>
          <w:rFonts w:cs="宋体"/>
          <w:color w:val="000000"/>
          <w:sz w:val="24"/>
        </w:rPr>
      </w:pPr>
      <w:r>
        <w:rPr>
          <w:rFonts w:cs="宋体"/>
          <w:color w:val="000000"/>
          <w:sz w:val="24"/>
        </w:rPr>
        <w:drawing>
          <wp:inline distT="0" distB="0" distL="114300" distR="114300">
            <wp:extent cx="5819775" cy="2514600"/>
            <wp:effectExtent l="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819775" cy="2514600"/>
                    </a:xfrm>
                    <a:prstGeom prst="rect">
                      <a:avLst/>
                    </a:prstGeom>
                    <a:noFill/>
                    <a:ln>
                      <a:noFill/>
                    </a:ln>
                  </pic:spPr>
                </pic:pic>
              </a:graphicData>
            </a:graphic>
          </wp:inline>
        </w:drawing>
      </w:r>
    </w:p>
    <w:p>
      <w:pPr>
        <w:pStyle w:val="11"/>
        <w:spacing w:after="0" w:line="520" w:lineRule="exact"/>
        <w:ind w:left="0" w:firstLine="472" w:firstLineChars="196"/>
        <w:rPr>
          <w:rFonts w:cs="宋体"/>
          <w:b/>
          <w:bCs/>
          <w:color w:val="000000"/>
          <w:sz w:val="24"/>
          <w:szCs w:val="24"/>
        </w:rPr>
      </w:pPr>
      <w:r>
        <w:rPr>
          <w:rFonts w:hint="eastAsia" w:cs="宋体"/>
          <w:b/>
          <w:bCs/>
          <w:color w:val="000000"/>
          <w:sz w:val="24"/>
          <w:szCs w:val="24"/>
        </w:rPr>
        <w:t>本次估价中，仅第</w:t>
      </w:r>
      <w:r>
        <w:rPr>
          <w:rFonts w:cs="宋体"/>
          <w:b/>
          <w:bCs/>
          <w:color w:val="000000"/>
          <w:sz w:val="24"/>
          <w:szCs w:val="24"/>
        </w:rPr>
        <w:t>2</w:t>
      </w:r>
      <w:r>
        <w:rPr>
          <w:rFonts w:hint="eastAsia" w:cs="宋体"/>
          <w:b/>
          <w:bCs/>
          <w:color w:val="000000"/>
          <w:sz w:val="24"/>
          <w:szCs w:val="24"/>
        </w:rPr>
        <w:t>、</w:t>
      </w:r>
      <w:r>
        <w:rPr>
          <w:rFonts w:cs="宋体"/>
          <w:b/>
          <w:bCs/>
          <w:color w:val="000000"/>
          <w:sz w:val="24"/>
          <w:szCs w:val="24"/>
        </w:rPr>
        <w:t>6</w:t>
      </w:r>
      <w:r>
        <w:rPr>
          <w:rFonts w:hint="eastAsia" w:cs="宋体"/>
          <w:b/>
          <w:bCs/>
          <w:color w:val="000000"/>
          <w:sz w:val="24"/>
          <w:szCs w:val="24"/>
        </w:rPr>
        <w:t>、</w:t>
      </w:r>
      <w:r>
        <w:rPr>
          <w:rFonts w:cs="宋体"/>
          <w:b/>
          <w:bCs/>
          <w:color w:val="000000"/>
          <w:sz w:val="24"/>
          <w:szCs w:val="24"/>
        </w:rPr>
        <w:t>7</w:t>
      </w:r>
      <w:r>
        <w:rPr>
          <w:rFonts w:hint="eastAsia" w:cs="宋体"/>
          <w:b/>
          <w:bCs/>
          <w:color w:val="000000"/>
          <w:sz w:val="24"/>
          <w:szCs w:val="24"/>
        </w:rPr>
        <w:t>栋无证建筑采用了测绘报告的面积数据，其余有证的第</w:t>
      </w:r>
      <w:r>
        <w:rPr>
          <w:rFonts w:cs="宋体"/>
          <w:b/>
          <w:bCs/>
          <w:color w:val="000000"/>
          <w:sz w:val="24"/>
          <w:szCs w:val="24"/>
        </w:rPr>
        <w:t>1</w:t>
      </w:r>
      <w:r>
        <w:rPr>
          <w:rFonts w:hint="eastAsia" w:cs="宋体"/>
          <w:b/>
          <w:bCs/>
          <w:color w:val="000000"/>
          <w:sz w:val="24"/>
          <w:szCs w:val="24"/>
        </w:rPr>
        <w:t>、</w:t>
      </w:r>
      <w:r>
        <w:rPr>
          <w:rFonts w:cs="宋体"/>
          <w:b/>
          <w:bCs/>
          <w:color w:val="000000"/>
          <w:sz w:val="24"/>
          <w:szCs w:val="24"/>
        </w:rPr>
        <w:t>3-5</w:t>
      </w:r>
      <w:r>
        <w:rPr>
          <w:rFonts w:hint="eastAsia" w:cs="宋体"/>
          <w:b/>
          <w:bCs/>
          <w:color w:val="000000"/>
          <w:sz w:val="24"/>
          <w:szCs w:val="24"/>
        </w:rPr>
        <w:t>栋的建筑面积按估价委托人的要求，依据《房屋所有权证》登记面积为准。</w:t>
      </w:r>
    </w:p>
    <w:p>
      <w:pPr>
        <w:pStyle w:val="11"/>
        <w:spacing w:after="0" w:line="520" w:lineRule="exact"/>
        <w:ind w:left="0" w:firstLine="472" w:firstLineChars="196"/>
        <w:rPr>
          <w:rFonts w:cs="宋体"/>
          <w:b/>
          <w:bCs/>
          <w:color w:val="000000"/>
          <w:sz w:val="24"/>
          <w:szCs w:val="24"/>
        </w:rPr>
      </w:pPr>
    </w:p>
    <w:p>
      <w:pPr>
        <w:spacing w:line="520" w:lineRule="exact"/>
        <w:ind w:firstLine="413" w:firstLineChars="197"/>
        <w:rPr>
          <w:rFonts w:ascii="宋体"/>
          <w:b/>
          <w:color w:val="000000"/>
          <w:sz w:val="24"/>
        </w:rPr>
      </w:pPr>
      <w:r>
        <w:drawing>
          <wp:anchor distT="0" distB="0" distL="114300" distR="114300" simplePos="0" relativeHeight="251663360" behindDoc="0" locked="0" layoutInCell="1" allowOverlap="1">
            <wp:simplePos x="0" y="0"/>
            <wp:positionH relativeFrom="column">
              <wp:posOffset>930910</wp:posOffset>
            </wp:positionH>
            <wp:positionV relativeFrom="paragraph">
              <wp:posOffset>78740</wp:posOffset>
            </wp:positionV>
            <wp:extent cx="3695700" cy="4427220"/>
            <wp:effectExtent l="0" t="0" r="0" b="11430"/>
            <wp:wrapNone/>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11"/>
                    <a:stretch>
                      <a:fillRect/>
                    </a:stretch>
                  </pic:blipFill>
                  <pic:spPr>
                    <a:xfrm>
                      <a:off x="0" y="0"/>
                      <a:ext cx="3695700" cy="4427220"/>
                    </a:xfrm>
                    <a:prstGeom prst="rect">
                      <a:avLst/>
                    </a:prstGeom>
                    <a:noFill/>
                    <a:ln>
                      <a:noFill/>
                    </a:ln>
                  </pic:spPr>
                </pic:pic>
              </a:graphicData>
            </a:graphic>
          </wp:anchor>
        </w:drawing>
      </w: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p>
    <w:p>
      <w:pPr>
        <w:spacing w:line="520" w:lineRule="exact"/>
        <w:ind w:firstLine="475" w:firstLineChars="197"/>
        <w:rPr>
          <w:rFonts w:ascii="宋体"/>
          <w:b/>
          <w:color w:val="000000"/>
          <w:sz w:val="24"/>
        </w:rPr>
      </w:pPr>
      <w:r>
        <w:rPr>
          <w:rFonts w:hint="eastAsia" w:ascii="宋体"/>
          <w:b/>
          <w:color w:val="000000"/>
          <w:sz w:val="24"/>
        </w:rPr>
        <w:t>（三）估价对象区位状况</w:t>
      </w:r>
    </w:p>
    <w:tbl>
      <w:tblPr>
        <w:tblStyle w:val="35"/>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autoSpaceDE w:val="0"/>
              <w:autoSpaceDN w:val="0"/>
              <w:adjustRightInd w:val="0"/>
              <w:spacing w:line="360" w:lineRule="exact"/>
              <w:rPr>
                <w:rFonts w:cs="宋体"/>
                <w:color w:val="000000"/>
                <w:sz w:val="18"/>
                <w:szCs w:val="18"/>
              </w:rPr>
            </w:pPr>
            <w:r>
              <w:rPr>
                <w:rFonts w:hint="eastAsia" w:ascii="宋体" w:hAnsi="宋体" w:cs="宋体"/>
                <w:color w:val="000000"/>
                <w:sz w:val="18"/>
                <w:szCs w:val="18"/>
              </w:rPr>
              <w:t>区域位置</w:t>
            </w:r>
          </w:p>
        </w:tc>
        <w:tc>
          <w:tcPr>
            <w:tcW w:w="8221" w:type="dxa"/>
          </w:tcPr>
          <w:p>
            <w:pPr>
              <w:shd w:val="clear" w:color="auto" w:fill="FFFFFF"/>
              <w:spacing w:line="360" w:lineRule="exact"/>
              <w:rPr>
                <w:color w:val="000000"/>
                <w:sz w:val="18"/>
                <w:szCs w:val="18"/>
              </w:rPr>
            </w:pPr>
            <w:r>
              <w:rPr>
                <w:rFonts w:hint="eastAsia"/>
                <w:color w:val="000000"/>
                <w:sz w:val="18"/>
                <w:szCs w:val="18"/>
              </w:rPr>
              <w:t>估价对象位于成都市金牛区蜀西路</w:t>
            </w:r>
            <w:r>
              <w:rPr>
                <w:color w:val="000000"/>
                <w:sz w:val="18"/>
                <w:szCs w:val="18"/>
              </w:rPr>
              <w:t>30</w:t>
            </w:r>
            <w:r>
              <w:rPr>
                <w:rFonts w:hint="eastAsia"/>
                <w:color w:val="000000"/>
                <w:sz w:val="18"/>
                <w:szCs w:val="18"/>
              </w:rPr>
              <w:t>号，成都市城区西面，三环路外侧。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autoSpaceDE w:val="0"/>
              <w:autoSpaceDN w:val="0"/>
              <w:adjustRightInd w:val="0"/>
              <w:spacing w:line="360" w:lineRule="exact"/>
              <w:rPr>
                <w:rFonts w:cs="宋体"/>
                <w:color w:val="000000"/>
                <w:sz w:val="18"/>
                <w:szCs w:val="18"/>
              </w:rPr>
            </w:pPr>
            <w:r>
              <w:rPr>
                <w:rFonts w:hint="eastAsia" w:ascii="宋体" w:hAnsi="宋体" w:cs="宋体"/>
                <w:color w:val="000000"/>
                <w:sz w:val="18"/>
                <w:szCs w:val="18"/>
              </w:rPr>
              <w:t>区域特点</w:t>
            </w:r>
          </w:p>
        </w:tc>
        <w:tc>
          <w:tcPr>
            <w:tcW w:w="8221" w:type="dxa"/>
          </w:tcPr>
          <w:p>
            <w:pPr>
              <w:shd w:val="clear" w:color="auto" w:fill="FFFFFF"/>
              <w:spacing w:line="360" w:lineRule="exact"/>
              <w:rPr>
                <w:color w:val="000000"/>
                <w:sz w:val="18"/>
                <w:szCs w:val="18"/>
              </w:rPr>
            </w:pPr>
            <w:r>
              <w:rPr>
                <w:rFonts w:hint="eastAsia"/>
                <w:color w:val="000000"/>
                <w:sz w:val="18"/>
                <w:szCs w:val="18"/>
              </w:rPr>
              <w:t>金牛区，隶属于</w:t>
            </w:r>
            <w:r>
              <w:fldChar w:fldCharType="begin"/>
            </w:r>
            <w:r>
              <w:instrText xml:space="preserve"> HYPERLINK "https://baike.baidu.com/item/%E5%9B%9B%E5%B7%9D%E7%9C%81/15626925" \t "_blank" </w:instrText>
            </w:r>
            <w:r>
              <w:fldChar w:fldCharType="separate"/>
            </w:r>
            <w:r>
              <w:rPr>
                <w:rFonts w:hint="eastAsia"/>
                <w:color w:val="000000"/>
                <w:sz w:val="18"/>
                <w:szCs w:val="18"/>
              </w:rPr>
              <w:t>四川省</w:t>
            </w:r>
            <w:r>
              <w:rPr>
                <w:rFonts w:hint="eastAsia"/>
                <w:color w:val="000000"/>
                <w:sz w:val="18"/>
                <w:szCs w:val="18"/>
              </w:rPr>
              <w:fldChar w:fldCharType="end"/>
            </w:r>
            <w:r>
              <w:fldChar w:fldCharType="begin"/>
            </w:r>
            <w:r>
              <w:instrText xml:space="preserve"> HYPERLINK "https://baike.baidu.com/item/%E6%88%90%E9%83%BD%E5%B8%82/5020801" \t "_blank" </w:instrText>
            </w:r>
            <w:r>
              <w:fldChar w:fldCharType="separate"/>
            </w:r>
            <w:r>
              <w:rPr>
                <w:rFonts w:hint="eastAsia"/>
                <w:color w:val="000000"/>
                <w:sz w:val="18"/>
                <w:szCs w:val="18"/>
              </w:rPr>
              <w:t>成都市</w:t>
            </w:r>
            <w:r>
              <w:rPr>
                <w:rFonts w:hint="eastAsia"/>
                <w:color w:val="000000"/>
                <w:sz w:val="18"/>
                <w:szCs w:val="18"/>
              </w:rPr>
              <w:fldChar w:fldCharType="end"/>
            </w:r>
            <w:r>
              <w:rPr>
                <w:rFonts w:hint="eastAsia"/>
                <w:color w:val="000000"/>
                <w:sz w:val="18"/>
                <w:szCs w:val="18"/>
              </w:rPr>
              <w:t>，地处</w:t>
            </w:r>
            <w:r>
              <w:fldChar w:fldCharType="begin"/>
            </w:r>
            <w:r>
              <w:instrText xml:space="preserve"> HYPERLINK "https://baike.baidu.com/item/%E6%88%90%E9%83%BD%E5%B9%B3%E5%8E%9F" \t "_blank" </w:instrText>
            </w:r>
            <w:r>
              <w:fldChar w:fldCharType="separate"/>
            </w:r>
            <w:r>
              <w:rPr>
                <w:rFonts w:hint="eastAsia"/>
                <w:color w:val="000000"/>
                <w:sz w:val="18"/>
                <w:szCs w:val="18"/>
              </w:rPr>
              <w:t>成都平原</w:t>
            </w:r>
            <w:r>
              <w:rPr>
                <w:rFonts w:hint="eastAsia"/>
                <w:color w:val="000000"/>
                <w:sz w:val="18"/>
                <w:szCs w:val="18"/>
              </w:rPr>
              <w:fldChar w:fldCharType="end"/>
            </w:r>
            <w:r>
              <w:rPr>
                <w:rFonts w:hint="eastAsia"/>
                <w:color w:val="000000"/>
                <w:sz w:val="18"/>
                <w:szCs w:val="18"/>
              </w:rPr>
              <w:t>东部，东与成华区新都区接壤、西与高新区、青羊区连接，南与青羊区分界，北与郫都区、新都区毗邻，区域东西距</w:t>
            </w:r>
            <w:r>
              <w:rPr>
                <w:color w:val="000000"/>
                <w:sz w:val="18"/>
                <w:szCs w:val="18"/>
              </w:rPr>
              <w:t>18</w:t>
            </w:r>
            <w:r>
              <w:rPr>
                <w:rFonts w:hint="eastAsia"/>
                <w:color w:val="000000"/>
                <w:sz w:val="18"/>
                <w:szCs w:val="18"/>
              </w:rPr>
              <w:t>千米，南北距</w:t>
            </w:r>
            <w:r>
              <w:rPr>
                <w:color w:val="000000"/>
                <w:sz w:val="18"/>
                <w:szCs w:val="18"/>
              </w:rPr>
              <w:t>16</w:t>
            </w:r>
            <w:r>
              <w:rPr>
                <w:rFonts w:hint="eastAsia"/>
                <w:color w:val="000000"/>
                <w:sz w:val="18"/>
                <w:szCs w:val="18"/>
              </w:rPr>
              <w:t>千米，全区总面积</w:t>
            </w:r>
            <w:r>
              <w:rPr>
                <w:color w:val="000000"/>
                <w:sz w:val="18"/>
                <w:szCs w:val="18"/>
              </w:rPr>
              <w:t>108</w:t>
            </w:r>
            <w:r>
              <w:rPr>
                <w:rFonts w:hint="eastAsia"/>
                <w:color w:val="000000"/>
                <w:sz w:val="18"/>
                <w:szCs w:val="18"/>
              </w:rPr>
              <w:t>平方千米。根据第七次人口普查数据，截至</w:t>
            </w:r>
            <w:r>
              <w:rPr>
                <w:color w:val="000000"/>
                <w:sz w:val="18"/>
                <w:szCs w:val="18"/>
              </w:rPr>
              <w:t>2020</w:t>
            </w:r>
            <w:r>
              <w:rPr>
                <w:rFonts w:hint="eastAsia"/>
                <w:color w:val="000000"/>
                <w:sz w:val="18"/>
                <w:szCs w:val="18"/>
              </w:rPr>
              <w:t>年</w:t>
            </w:r>
            <w:r>
              <w:rPr>
                <w:color w:val="000000"/>
                <w:sz w:val="18"/>
                <w:szCs w:val="18"/>
              </w:rPr>
              <w:t>11</w:t>
            </w:r>
            <w:r>
              <w:rPr>
                <w:rFonts w:hint="eastAsia"/>
                <w:color w:val="000000"/>
                <w:sz w:val="18"/>
                <w:szCs w:val="18"/>
              </w:rPr>
              <w:t>月</w:t>
            </w:r>
            <w:r>
              <w:rPr>
                <w:color w:val="000000"/>
                <w:sz w:val="18"/>
                <w:szCs w:val="18"/>
              </w:rPr>
              <w:t>1</w:t>
            </w:r>
            <w:r>
              <w:rPr>
                <w:rFonts w:hint="eastAsia"/>
                <w:color w:val="000000"/>
                <w:sz w:val="18"/>
                <w:szCs w:val="18"/>
              </w:rPr>
              <w:t>日零时，金牛区常住人口为</w:t>
            </w:r>
            <w:r>
              <w:rPr>
                <w:color w:val="000000"/>
                <w:sz w:val="18"/>
                <w:szCs w:val="18"/>
              </w:rPr>
              <w:t>1265398</w:t>
            </w:r>
            <w:r>
              <w:rPr>
                <w:rFonts w:hint="eastAsia"/>
                <w:color w:val="000000"/>
                <w:sz w:val="18"/>
                <w:szCs w:val="18"/>
              </w:rPr>
              <w:t>人。</w:t>
            </w:r>
          </w:p>
          <w:p>
            <w:pPr>
              <w:shd w:val="clear" w:color="auto" w:fill="FFFFFF"/>
              <w:spacing w:line="360" w:lineRule="exact"/>
              <w:rPr>
                <w:color w:val="000000"/>
                <w:sz w:val="18"/>
                <w:szCs w:val="18"/>
              </w:rPr>
            </w:pPr>
            <w:r>
              <w:rPr>
                <w:rFonts w:hint="eastAsia"/>
                <w:color w:val="000000"/>
                <w:sz w:val="18"/>
                <w:szCs w:val="18"/>
              </w:rPr>
              <w:t>金牛区地处成德绵经济带的起点和天府大道“百里中轴线”北中轴的核心位置，拥有西南最大的铁路枢纽成都火车站，是轨道交通规划站点最多的主城区。拥有西部唯一的</w:t>
            </w:r>
            <w:r>
              <w:rPr>
                <w:color w:val="000000"/>
                <w:sz w:val="18"/>
                <w:szCs w:val="18"/>
              </w:rPr>
              <w:t>“</w:t>
            </w:r>
            <w:r>
              <w:rPr>
                <w:rFonts w:hint="eastAsia"/>
                <w:color w:val="000000"/>
                <w:sz w:val="18"/>
                <w:szCs w:val="18"/>
              </w:rPr>
              <w:t>国家级市场采购贸易方式</w:t>
            </w:r>
            <w:r>
              <w:rPr>
                <w:color w:val="000000"/>
                <w:sz w:val="18"/>
                <w:szCs w:val="18"/>
              </w:rPr>
              <w:t>”</w:t>
            </w:r>
            <w:r>
              <w:rPr>
                <w:rFonts w:hint="eastAsia"/>
                <w:color w:val="000000"/>
                <w:sz w:val="18"/>
                <w:szCs w:val="18"/>
              </w:rPr>
              <w:t>试点，将打造成为泛欧泛亚进口商品展示和出口商品集散中心。拥有可利用土地</w:t>
            </w:r>
            <w:r>
              <w:rPr>
                <w:color w:val="000000"/>
                <w:sz w:val="18"/>
                <w:szCs w:val="18"/>
              </w:rPr>
              <w:t>3</w:t>
            </w:r>
            <w:r>
              <w:rPr>
                <w:rFonts w:hint="eastAsia"/>
                <w:color w:val="000000"/>
                <w:sz w:val="18"/>
                <w:szCs w:val="18"/>
              </w:rPr>
              <w:t>万余亩，是土地资源最丰富的主城区。拥有市场主体</w:t>
            </w:r>
            <w:r>
              <w:rPr>
                <w:color w:val="000000"/>
                <w:sz w:val="18"/>
                <w:szCs w:val="18"/>
              </w:rPr>
              <w:t>38</w:t>
            </w:r>
            <w:r>
              <w:rPr>
                <w:rFonts w:hint="eastAsia"/>
                <w:color w:val="000000"/>
                <w:sz w:val="18"/>
                <w:szCs w:val="18"/>
              </w:rPr>
              <w:t>万户，总量位列全省区（市）县第一。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autoSpaceDE w:val="0"/>
              <w:autoSpaceDN w:val="0"/>
              <w:adjustRightInd w:val="0"/>
              <w:spacing w:line="360" w:lineRule="exact"/>
              <w:rPr>
                <w:rFonts w:cs="宋体"/>
                <w:color w:val="000000"/>
                <w:sz w:val="18"/>
                <w:szCs w:val="18"/>
              </w:rPr>
            </w:pPr>
            <w:r>
              <w:rPr>
                <w:rFonts w:hint="eastAsia" w:ascii="宋体" w:hAnsi="宋体" w:cs="宋体"/>
                <w:color w:val="000000"/>
                <w:sz w:val="18"/>
                <w:szCs w:val="18"/>
              </w:rPr>
              <w:t>交通条件</w:t>
            </w:r>
          </w:p>
        </w:tc>
        <w:tc>
          <w:tcPr>
            <w:tcW w:w="8221" w:type="dxa"/>
          </w:tcPr>
          <w:p>
            <w:pPr>
              <w:shd w:val="clear" w:color="auto" w:fill="FFFFFF"/>
              <w:spacing w:line="360" w:lineRule="exact"/>
              <w:rPr>
                <w:color w:val="000000"/>
                <w:sz w:val="18"/>
                <w:szCs w:val="18"/>
              </w:rPr>
            </w:pPr>
            <w:r>
              <w:rPr>
                <w:rFonts w:hint="eastAsia"/>
                <w:color w:val="000000"/>
                <w:sz w:val="18"/>
                <w:szCs w:val="18"/>
              </w:rPr>
              <w:t>估价对象地处城西三环路外侧，属蜀西路</w:t>
            </w:r>
            <w:r>
              <w:rPr>
                <w:color w:val="000000"/>
                <w:sz w:val="18"/>
                <w:szCs w:val="18"/>
              </w:rPr>
              <w:t>-</w:t>
            </w:r>
            <w:r>
              <w:rPr>
                <w:rFonts w:hint="eastAsia"/>
                <w:color w:val="000000"/>
                <w:sz w:val="18"/>
                <w:szCs w:val="18"/>
              </w:rPr>
              <w:t>迎宾大道的国宾板块范畴，南侧直接临蜀西路。区域内交通线路四通八达，以羊西线</w:t>
            </w:r>
            <w:r>
              <w:rPr>
                <w:color w:val="000000"/>
                <w:sz w:val="18"/>
                <w:szCs w:val="18"/>
              </w:rPr>
              <w:t>-</w:t>
            </w:r>
            <w:r>
              <w:rPr>
                <w:rFonts w:hint="eastAsia"/>
                <w:color w:val="000000"/>
                <w:sz w:val="18"/>
                <w:szCs w:val="18"/>
              </w:rPr>
              <w:t>蜀西路、三环路为纵横主干线，迎宾大道、西源大道、老成灌路、二环路、金科南路、金科东路、黄金东一路为辅，形成了三横三纵庞大的立体交通网，交通便利度优。周边通行</w:t>
            </w:r>
            <w:r>
              <w:rPr>
                <w:color w:val="000000"/>
                <w:sz w:val="18"/>
                <w:szCs w:val="18"/>
              </w:rPr>
              <w:t>17</w:t>
            </w:r>
            <w:r>
              <w:rPr>
                <w:rFonts w:hint="eastAsia"/>
                <w:color w:val="000000"/>
                <w:sz w:val="18"/>
                <w:szCs w:val="18"/>
              </w:rPr>
              <w:t>、</w:t>
            </w:r>
            <w:r>
              <w:rPr>
                <w:color w:val="000000"/>
                <w:sz w:val="18"/>
                <w:szCs w:val="18"/>
              </w:rPr>
              <w:t>30</w:t>
            </w:r>
            <w:r>
              <w:rPr>
                <w:rFonts w:hint="eastAsia"/>
                <w:color w:val="000000"/>
                <w:sz w:val="18"/>
                <w:szCs w:val="18"/>
              </w:rPr>
              <w:t>、</w:t>
            </w:r>
            <w:r>
              <w:rPr>
                <w:color w:val="000000"/>
                <w:sz w:val="18"/>
                <w:szCs w:val="18"/>
              </w:rPr>
              <w:t>54</w:t>
            </w:r>
            <w:r>
              <w:rPr>
                <w:rFonts w:hint="eastAsia"/>
                <w:color w:val="000000"/>
                <w:sz w:val="18"/>
                <w:szCs w:val="18"/>
              </w:rPr>
              <w:t>、</w:t>
            </w:r>
            <w:r>
              <w:rPr>
                <w:color w:val="000000"/>
                <w:sz w:val="18"/>
                <w:szCs w:val="18"/>
              </w:rPr>
              <w:t>96</w:t>
            </w:r>
            <w:r>
              <w:rPr>
                <w:rFonts w:hint="eastAsia"/>
                <w:color w:val="000000"/>
                <w:sz w:val="18"/>
                <w:szCs w:val="18"/>
              </w:rPr>
              <w:t>、</w:t>
            </w:r>
            <w:r>
              <w:rPr>
                <w:color w:val="000000"/>
                <w:sz w:val="18"/>
                <w:szCs w:val="18"/>
              </w:rPr>
              <w:t>111</w:t>
            </w:r>
            <w:r>
              <w:rPr>
                <w:rFonts w:hint="eastAsia"/>
                <w:color w:val="000000"/>
                <w:sz w:val="18"/>
                <w:szCs w:val="18"/>
              </w:rPr>
              <w:t>、</w:t>
            </w:r>
            <w:r>
              <w:rPr>
                <w:color w:val="000000"/>
                <w:sz w:val="18"/>
                <w:szCs w:val="18"/>
              </w:rPr>
              <w:t>155</w:t>
            </w:r>
            <w:r>
              <w:rPr>
                <w:rFonts w:hint="eastAsia"/>
                <w:color w:val="000000"/>
                <w:sz w:val="18"/>
                <w:szCs w:val="18"/>
              </w:rPr>
              <w:t>、</w:t>
            </w:r>
            <w:r>
              <w:rPr>
                <w:color w:val="000000"/>
                <w:sz w:val="18"/>
                <w:szCs w:val="18"/>
              </w:rPr>
              <w:t>158</w:t>
            </w:r>
            <w:r>
              <w:rPr>
                <w:rFonts w:hint="eastAsia"/>
                <w:color w:val="000000"/>
                <w:sz w:val="18"/>
                <w:szCs w:val="18"/>
              </w:rPr>
              <w:t>、</w:t>
            </w:r>
            <w:r>
              <w:rPr>
                <w:color w:val="000000"/>
                <w:sz w:val="18"/>
                <w:szCs w:val="18"/>
              </w:rPr>
              <w:t>763</w:t>
            </w:r>
            <w:r>
              <w:rPr>
                <w:rFonts w:hint="eastAsia"/>
                <w:color w:val="000000"/>
                <w:sz w:val="18"/>
                <w:szCs w:val="18"/>
              </w:rPr>
              <w:t>路等多路市内公交路线，距地铁</w:t>
            </w:r>
            <w:r>
              <w:rPr>
                <w:color w:val="000000"/>
                <w:sz w:val="18"/>
                <w:szCs w:val="18"/>
              </w:rPr>
              <w:t>2</w:t>
            </w:r>
            <w:r>
              <w:rPr>
                <w:rFonts w:hint="eastAsia"/>
                <w:color w:val="000000"/>
                <w:sz w:val="18"/>
                <w:szCs w:val="18"/>
              </w:rPr>
              <w:t>号线茶店子客运站约</w:t>
            </w:r>
            <w:r>
              <w:rPr>
                <w:color w:val="000000"/>
                <w:sz w:val="18"/>
                <w:szCs w:val="18"/>
              </w:rPr>
              <w:t>1.5</w:t>
            </w:r>
            <w:r>
              <w:rPr>
                <w:rFonts w:hint="eastAsia"/>
                <w:color w:val="000000"/>
                <w:sz w:val="18"/>
                <w:szCs w:val="18"/>
              </w:rPr>
              <w:t>公里，地理位置较好，公共交通便利。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autoSpaceDE w:val="0"/>
              <w:autoSpaceDN w:val="0"/>
              <w:adjustRightInd w:val="0"/>
              <w:spacing w:line="360" w:lineRule="exact"/>
              <w:rPr>
                <w:rFonts w:cs="宋体"/>
                <w:color w:val="000000"/>
                <w:sz w:val="18"/>
                <w:szCs w:val="18"/>
              </w:rPr>
            </w:pPr>
            <w:r>
              <w:rPr>
                <w:rFonts w:hint="eastAsia" w:ascii="宋体" w:hAnsi="宋体" w:cs="宋体"/>
                <w:color w:val="000000"/>
                <w:sz w:val="18"/>
                <w:szCs w:val="18"/>
              </w:rPr>
              <w:t>外部配套设施</w:t>
            </w:r>
          </w:p>
        </w:tc>
        <w:tc>
          <w:tcPr>
            <w:tcW w:w="8221" w:type="dxa"/>
          </w:tcPr>
          <w:p>
            <w:pPr>
              <w:autoSpaceDE w:val="0"/>
              <w:autoSpaceDN w:val="0"/>
              <w:adjustRightInd w:val="0"/>
              <w:spacing w:line="360" w:lineRule="exact"/>
              <w:rPr>
                <w:rFonts w:ascii="宋体" w:cs="宋体"/>
                <w:color w:val="000000"/>
                <w:sz w:val="18"/>
                <w:szCs w:val="18"/>
              </w:rPr>
            </w:pPr>
            <w:r>
              <w:rPr>
                <w:rFonts w:hint="eastAsia" w:ascii="宋体" w:hAnsi="宋体" w:cs="宋体"/>
                <w:color w:val="000000"/>
                <w:sz w:val="18"/>
                <w:szCs w:val="18"/>
              </w:rPr>
              <w:t>四川省消防救援总队、迎宾路小学、成都蜀西实验学校、成都中医哮喘病医院、中海国际购物公园均分布于区域内，配套设施完善。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autoSpaceDE w:val="0"/>
              <w:autoSpaceDN w:val="0"/>
              <w:adjustRightInd w:val="0"/>
              <w:spacing w:line="360" w:lineRule="exact"/>
              <w:rPr>
                <w:rFonts w:cs="宋体"/>
                <w:color w:val="000000"/>
                <w:sz w:val="18"/>
                <w:szCs w:val="18"/>
              </w:rPr>
            </w:pPr>
            <w:r>
              <w:rPr>
                <w:rFonts w:hint="eastAsia" w:ascii="宋体" w:hAnsi="宋体" w:cs="宋体"/>
                <w:color w:val="000000"/>
                <w:sz w:val="18"/>
                <w:szCs w:val="18"/>
              </w:rPr>
              <w:t>周围环境</w:t>
            </w:r>
          </w:p>
        </w:tc>
        <w:tc>
          <w:tcPr>
            <w:tcW w:w="8221" w:type="dxa"/>
          </w:tcPr>
          <w:p>
            <w:pPr>
              <w:autoSpaceDE w:val="0"/>
              <w:autoSpaceDN w:val="0"/>
              <w:adjustRightInd w:val="0"/>
              <w:spacing w:line="360" w:lineRule="exact"/>
              <w:rPr>
                <w:rFonts w:ascii="宋体" w:cs="宋体"/>
                <w:color w:val="000000"/>
                <w:sz w:val="18"/>
                <w:szCs w:val="18"/>
              </w:rPr>
            </w:pPr>
            <w:r>
              <w:rPr>
                <w:rFonts w:hint="eastAsia" w:ascii="宋体" w:hAnsi="宋体" w:cs="宋体"/>
                <w:color w:val="000000"/>
                <w:sz w:val="18"/>
                <w:szCs w:val="18"/>
              </w:rPr>
              <w:t>周边还分布有丰德羊西中心、居然大厦、金玺园、金泉阳光佳新苑、青房天韵华庭、康弘制药、西线阳光、固特大厦、雄龙大厦、</w:t>
            </w:r>
            <w:r>
              <w:rPr>
                <w:rFonts w:ascii="宋体" w:hAnsi="宋体" w:cs="宋体"/>
                <w:color w:val="000000"/>
                <w:sz w:val="18"/>
                <w:szCs w:val="18"/>
              </w:rPr>
              <w:t>IP</w:t>
            </w:r>
            <w:r>
              <w:rPr>
                <w:rFonts w:hint="eastAsia" w:ascii="宋体" w:hAnsi="宋体" w:cs="宋体"/>
                <w:color w:val="000000"/>
                <w:sz w:val="18"/>
                <w:szCs w:val="18"/>
              </w:rPr>
              <w:t>科技中心、万裕生活广场、白鸽岛尚等物业。居住及商务氛围浓郁。</w:t>
            </w:r>
          </w:p>
        </w:tc>
      </w:tr>
    </w:tbl>
    <w:p>
      <w:pPr>
        <w:pStyle w:val="5"/>
        <w:spacing w:line="480" w:lineRule="exact"/>
        <w:ind w:left="418" w:leftChars="199" w:firstLine="0"/>
        <w:outlineLvl w:val="0"/>
        <w:rPr>
          <w:rFonts w:ascii="宋体"/>
          <w:b/>
          <w:color w:val="000000"/>
          <w:sz w:val="24"/>
        </w:rPr>
      </w:pPr>
      <w:r>
        <w:rPr>
          <w:rFonts w:hint="eastAsia" w:ascii="宋体"/>
          <w:b/>
          <w:color w:val="000000"/>
          <w:sz w:val="24"/>
        </w:rPr>
        <w:t>（四）估价对象实物状况</w:t>
      </w:r>
    </w:p>
    <w:p>
      <w:pPr>
        <w:spacing w:line="480" w:lineRule="exact"/>
        <w:ind w:firstLine="472" w:firstLineChars="196"/>
        <w:rPr>
          <w:b/>
          <w:bCs/>
          <w:snapToGrid w:val="0"/>
          <w:color w:val="000000"/>
          <w:kern w:val="0"/>
          <w:sz w:val="24"/>
        </w:rPr>
      </w:pPr>
      <w:r>
        <w:rPr>
          <w:b/>
          <w:bCs/>
          <w:color w:val="000000"/>
          <w:kern w:val="0"/>
          <w:sz w:val="24"/>
        </w:rPr>
        <w:t>1</w:t>
      </w:r>
      <w:r>
        <w:rPr>
          <w:rFonts w:hint="eastAsia" w:hAnsi="宋体"/>
          <w:b/>
          <w:bCs/>
          <w:color w:val="000000"/>
          <w:kern w:val="0"/>
          <w:sz w:val="24"/>
        </w:rPr>
        <w:t>、土地使用权</w:t>
      </w:r>
      <w:r>
        <w:rPr>
          <w:rFonts w:hint="eastAsia"/>
          <w:b/>
          <w:bCs/>
          <w:snapToGrid w:val="0"/>
          <w:color w:val="000000"/>
          <w:kern w:val="0"/>
          <w:sz w:val="24"/>
        </w:rPr>
        <w:t>实物状况</w:t>
      </w:r>
    </w:p>
    <w:tbl>
      <w:tblPr>
        <w:tblStyle w:val="35"/>
        <w:tblW w:w="9207" w:type="dxa"/>
        <w:jc w:val="center"/>
        <w:tblLayout w:type="autofit"/>
        <w:tblCellMar>
          <w:top w:w="0" w:type="dxa"/>
          <w:left w:w="108" w:type="dxa"/>
          <w:bottom w:w="0" w:type="dxa"/>
          <w:right w:w="108" w:type="dxa"/>
        </w:tblCellMar>
      </w:tblPr>
      <w:tblGrid>
        <w:gridCol w:w="1961"/>
        <w:gridCol w:w="7246"/>
      </w:tblGrid>
      <w:tr>
        <w:tblPrEx>
          <w:tblCellMar>
            <w:top w:w="0" w:type="dxa"/>
            <w:left w:w="108" w:type="dxa"/>
            <w:bottom w:w="0" w:type="dxa"/>
            <w:right w:w="108" w:type="dxa"/>
          </w:tblCellMar>
        </w:tblPrEx>
        <w:trPr>
          <w:trHeight w:val="220" w:hRule="atLeast"/>
          <w:jc w:val="center"/>
        </w:trPr>
        <w:tc>
          <w:tcPr>
            <w:tcW w:w="196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sz w:val="18"/>
                <w:szCs w:val="18"/>
              </w:rPr>
            </w:pPr>
            <w:r>
              <w:rPr>
                <w:rFonts w:hint="eastAsia"/>
                <w:color w:val="000000"/>
                <w:sz w:val="18"/>
                <w:szCs w:val="18"/>
              </w:rPr>
              <w:t>估价对象</w:t>
            </w:r>
          </w:p>
        </w:tc>
        <w:tc>
          <w:tcPr>
            <w:tcW w:w="7246"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 w:val="18"/>
                <w:szCs w:val="18"/>
              </w:rPr>
            </w:pPr>
            <w:r>
              <w:rPr>
                <w:rFonts w:hint="eastAsia"/>
                <w:color w:val="000000"/>
                <w:sz w:val="18"/>
                <w:szCs w:val="18"/>
              </w:rPr>
              <w:t>成都市金牛区金牛乡高家村</w:t>
            </w:r>
            <w:r>
              <w:rPr>
                <w:color w:val="000000"/>
                <w:sz w:val="18"/>
                <w:szCs w:val="18"/>
              </w:rPr>
              <w:t>7</w:t>
            </w:r>
            <w:r>
              <w:rPr>
                <w:rFonts w:hint="eastAsia"/>
                <w:color w:val="000000"/>
                <w:sz w:val="18"/>
                <w:szCs w:val="18"/>
              </w:rPr>
              <w:t>、</w:t>
            </w:r>
            <w:r>
              <w:rPr>
                <w:color w:val="000000"/>
                <w:sz w:val="18"/>
                <w:szCs w:val="18"/>
              </w:rPr>
              <w:t>8</w:t>
            </w:r>
            <w:r>
              <w:rPr>
                <w:rFonts w:hint="eastAsia"/>
                <w:color w:val="000000"/>
                <w:sz w:val="18"/>
                <w:szCs w:val="18"/>
              </w:rPr>
              <w:t>组（羊市街西沿线高家路段旁）所在一宗工业用地土地使用权。</w:t>
            </w:r>
          </w:p>
        </w:tc>
      </w:tr>
      <w:tr>
        <w:tblPrEx>
          <w:tblCellMar>
            <w:top w:w="0" w:type="dxa"/>
            <w:left w:w="108" w:type="dxa"/>
            <w:bottom w:w="0" w:type="dxa"/>
            <w:right w:w="108" w:type="dxa"/>
          </w:tblCellMar>
        </w:tblPrEx>
        <w:trPr>
          <w:trHeight w:val="440" w:hRule="atLeast"/>
          <w:jc w:val="center"/>
        </w:trPr>
        <w:tc>
          <w:tcPr>
            <w:tcW w:w="196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sz w:val="18"/>
                <w:szCs w:val="18"/>
              </w:rPr>
            </w:pPr>
            <w:r>
              <w:rPr>
                <w:rFonts w:hint="eastAsia"/>
                <w:color w:val="000000"/>
                <w:sz w:val="18"/>
                <w:szCs w:val="18"/>
              </w:rPr>
              <w:t>四至</w:t>
            </w:r>
          </w:p>
        </w:tc>
        <w:tc>
          <w:tcPr>
            <w:tcW w:w="7246"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 w:val="18"/>
                <w:szCs w:val="18"/>
              </w:rPr>
            </w:pPr>
            <w:r>
              <w:rPr>
                <w:rFonts w:hint="eastAsia"/>
                <w:color w:val="000000"/>
                <w:sz w:val="18"/>
                <w:szCs w:val="18"/>
              </w:rPr>
              <w:t>估价对象取得了《国有土地使用证》【成国用（</w:t>
            </w:r>
            <w:r>
              <w:rPr>
                <w:color w:val="000000"/>
                <w:sz w:val="18"/>
                <w:szCs w:val="18"/>
              </w:rPr>
              <w:t>2005</w:t>
            </w:r>
            <w:r>
              <w:rPr>
                <w:rFonts w:hint="eastAsia"/>
                <w:color w:val="000000"/>
                <w:sz w:val="18"/>
                <w:szCs w:val="18"/>
              </w:rPr>
              <w:t>）第</w:t>
            </w:r>
            <w:r>
              <w:rPr>
                <w:color w:val="000000"/>
                <w:sz w:val="18"/>
                <w:szCs w:val="18"/>
              </w:rPr>
              <w:t>866</w:t>
            </w:r>
            <w:r>
              <w:rPr>
                <w:rFonts w:hint="eastAsia"/>
                <w:color w:val="000000"/>
                <w:sz w:val="18"/>
                <w:szCs w:val="18"/>
              </w:rPr>
              <w:t>号】项下土地使用权面积为</w:t>
            </w:r>
            <w:r>
              <w:rPr>
                <w:color w:val="000000"/>
                <w:sz w:val="18"/>
                <w:szCs w:val="18"/>
              </w:rPr>
              <w:t>21564.79</w:t>
            </w:r>
            <w:r>
              <w:rPr>
                <w:rFonts w:hint="eastAsia"/>
                <w:color w:val="000000"/>
                <w:sz w:val="18"/>
                <w:szCs w:val="18"/>
              </w:rPr>
              <w:t>㎡，并提供了宗地图。实地查勘整个园区的宗地四至为：南临蜀西路，东邻四川省消防救援总队，北邻园区</w:t>
            </w:r>
            <w:r>
              <w:rPr>
                <w:color w:val="000000"/>
                <w:sz w:val="18"/>
                <w:szCs w:val="18"/>
              </w:rPr>
              <w:t>52</w:t>
            </w:r>
            <w:r>
              <w:rPr>
                <w:rFonts w:hint="eastAsia"/>
                <w:color w:val="000000"/>
                <w:sz w:val="18"/>
                <w:szCs w:val="18"/>
              </w:rPr>
              <w:t>亩宗地，西邻康弘药业集团。</w:t>
            </w:r>
          </w:p>
        </w:tc>
      </w:tr>
      <w:tr>
        <w:tblPrEx>
          <w:tblCellMar>
            <w:top w:w="0" w:type="dxa"/>
            <w:left w:w="108" w:type="dxa"/>
            <w:bottom w:w="0" w:type="dxa"/>
            <w:right w:w="108" w:type="dxa"/>
          </w:tblCellMar>
        </w:tblPrEx>
        <w:trPr>
          <w:trHeight w:val="300" w:hRule="atLeast"/>
          <w:jc w:val="center"/>
        </w:trPr>
        <w:tc>
          <w:tcPr>
            <w:tcW w:w="196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sz w:val="18"/>
                <w:szCs w:val="18"/>
              </w:rPr>
            </w:pPr>
            <w:r>
              <w:rPr>
                <w:rFonts w:hint="eastAsia"/>
                <w:color w:val="000000"/>
                <w:sz w:val="18"/>
                <w:szCs w:val="18"/>
              </w:rPr>
              <w:t>面积</w:t>
            </w:r>
          </w:p>
        </w:tc>
        <w:tc>
          <w:tcPr>
            <w:tcW w:w="7246"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 w:val="18"/>
                <w:szCs w:val="18"/>
              </w:rPr>
            </w:pPr>
            <w:r>
              <w:rPr>
                <w:rFonts w:hint="eastAsia"/>
                <w:color w:val="000000"/>
                <w:sz w:val="18"/>
                <w:szCs w:val="18"/>
              </w:rPr>
              <w:t>估价对象所在权证记载面积为</w:t>
            </w:r>
            <w:r>
              <w:rPr>
                <w:color w:val="000000"/>
                <w:sz w:val="18"/>
                <w:szCs w:val="18"/>
              </w:rPr>
              <w:t>21564.79</w:t>
            </w:r>
            <w:r>
              <w:rPr>
                <w:rFonts w:hint="eastAsia"/>
                <w:color w:val="000000"/>
                <w:sz w:val="18"/>
                <w:szCs w:val="18"/>
              </w:rPr>
              <w:t>㎡，本次评估土地使用权面积</w:t>
            </w:r>
            <w:r>
              <w:rPr>
                <w:color w:val="000000"/>
                <w:sz w:val="18"/>
                <w:szCs w:val="18"/>
              </w:rPr>
              <w:t>21564.79</w:t>
            </w:r>
            <w:r>
              <w:rPr>
                <w:rFonts w:hint="eastAsia"/>
                <w:color w:val="000000"/>
                <w:sz w:val="18"/>
                <w:szCs w:val="18"/>
              </w:rPr>
              <w:t>㎡。</w:t>
            </w:r>
            <w:r>
              <w:rPr>
                <w:color w:val="000000"/>
                <w:sz w:val="18"/>
                <w:szCs w:val="18"/>
              </w:rPr>
              <w:t xml:space="preserve"> </w:t>
            </w:r>
          </w:p>
        </w:tc>
      </w:tr>
      <w:tr>
        <w:tblPrEx>
          <w:tblCellMar>
            <w:top w:w="0" w:type="dxa"/>
            <w:left w:w="108" w:type="dxa"/>
            <w:bottom w:w="0" w:type="dxa"/>
            <w:right w:w="108" w:type="dxa"/>
          </w:tblCellMar>
        </w:tblPrEx>
        <w:trPr>
          <w:trHeight w:val="300" w:hRule="atLeast"/>
          <w:jc w:val="center"/>
        </w:trPr>
        <w:tc>
          <w:tcPr>
            <w:tcW w:w="196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sz w:val="18"/>
                <w:szCs w:val="18"/>
              </w:rPr>
            </w:pPr>
            <w:r>
              <w:rPr>
                <w:rFonts w:hint="eastAsia"/>
                <w:color w:val="000000"/>
                <w:sz w:val="18"/>
                <w:szCs w:val="18"/>
              </w:rPr>
              <w:t>形状</w:t>
            </w:r>
          </w:p>
        </w:tc>
        <w:tc>
          <w:tcPr>
            <w:tcW w:w="7246"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 w:val="18"/>
                <w:szCs w:val="18"/>
              </w:rPr>
            </w:pPr>
            <w:r>
              <w:rPr>
                <w:rFonts w:hint="eastAsia"/>
                <w:color w:val="000000"/>
                <w:sz w:val="18"/>
                <w:szCs w:val="18"/>
              </w:rPr>
              <w:t>据提供的《宗地图》、《成都中汇制药有限公司扩建基地总平图》记载，估价对象园区宗地形状大致呈规则矩形。</w:t>
            </w:r>
          </w:p>
        </w:tc>
      </w:tr>
      <w:tr>
        <w:tblPrEx>
          <w:tblCellMar>
            <w:top w:w="0" w:type="dxa"/>
            <w:left w:w="108" w:type="dxa"/>
            <w:bottom w:w="0" w:type="dxa"/>
            <w:right w:w="108" w:type="dxa"/>
          </w:tblCellMar>
        </w:tblPrEx>
        <w:trPr>
          <w:trHeight w:val="56" w:hRule="atLeast"/>
          <w:jc w:val="center"/>
        </w:trPr>
        <w:tc>
          <w:tcPr>
            <w:tcW w:w="196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sz w:val="18"/>
                <w:szCs w:val="18"/>
              </w:rPr>
            </w:pPr>
            <w:r>
              <w:rPr>
                <w:rFonts w:hint="eastAsia"/>
                <w:color w:val="000000"/>
                <w:sz w:val="18"/>
                <w:szCs w:val="18"/>
              </w:rPr>
              <w:t>规划及限制条件</w:t>
            </w:r>
          </w:p>
        </w:tc>
        <w:tc>
          <w:tcPr>
            <w:tcW w:w="7246"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 w:val="18"/>
                <w:szCs w:val="18"/>
              </w:rPr>
            </w:pPr>
            <w:r>
              <w:rPr>
                <w:rFonts w:hint="eastAsia"/>
                <w:color w:val="000000"/>
                <w:sz w:val="18"/>
                <w:szCs w:val="18"/>
              </w:rPr>
              <w:t>估价对象占用宗地权利性质为出让；用途为工业用地；使用权终止日期为</w:t>
            </w:r>
            <w:r>
              <w:rPr>
                <w:color w:val="000000"/>
                <w:sz w:val="18"/>
                <w:szCs w:val="18"/>
              </w:rPr>
              <w:t>2049</w:t>
            </w:r>
            <w:r>
              <w:rPr>
                <w:rFonts w:hint="eastAsia"/>
                <w:color w:val="000000"/>
                <w:sz w:val="18"/>
                <w:szCs w:val="18"/>
              </w:rPr>
              <w:t>年</w:t>
            </w:r>
            <w:r>
              <w:rPr>
                <w:color w:val="000000"/>
                <w:sz w:val="18"/>
                <w:szCs w:val="18"/>
              </w:rPr>
              <w:t>5</w:t>
            </w:r>
            <w:r>
              <w:rPr>
                <w:rFonts w:hint="eastAsia"/>
                <w:color w:val="000000"/>
                <w:sz w:val="18"/>
                <w:szCs w:val="18"/>
              </w:rPr>
              <w:t>月</w:t>
            </w:r>
            <w:r>
              <w:rPr>
                <w:color w:val="000000"/>
                <w:sz w:val="18"/>
                <w:szCs w:val="18"/>
              </w:rPr>
              <w:t>30</w:t>
            </w:r>
            <w:r>
              <w:rPr>
                <w:rFonts w:hint="eastAsia"/>
                <w:color w:val="000000"/>
                <w:sz w:val="18"/>
                <w:szCs w:val="18"/>
              </w:rPr>
              <w:t>日，至价值时点</w:t>
            </w:r>
            <w:r>
              <w:rPr>
                <w:color w:val="000000"/>
                <w:sz w:val="18"/>
                <w:szCs w:val="18"/>
              </w:rPr>
              <w:t>2022</w:t>
            </w:r>
            <w:r>
              <w:rPr>
                <w:rFonts w:hint="eastAsia"/>
                <w:color w:val="000000"/>
                <w:sz w:val="18"/>
                <w:szCs w:val="18"/>
              </w:rPr>
              <w:t>年</w:t>
            </w:r>
            <w:r>
              <w:rPr>
                <w:color w:val="000000"/>
                <w:sz w:val="18"/>
                <w:szCs w:val="18"/>
              </w:rPr>
              <w:t>04</w:t>
            </w:r>
            <w:r>
              <w:rPr>
                <w:rFonts w:hint="eastAsia"/>
                <w:color w:val="000000"/>
                <w:sz w:val="18"/>
                <w:szCs w:val="18"/>
              </w:rPr>
              <w:t>月</w:t>
            </w:r>
            <w:r>
              <w:rPr>
                <w:color w:val="000000"/>
                <w:sz w:val="18"/>
                <w:szCs w:val="18"/>
              </w:rPr>
              <w:t>02</w:t>
            </w:r>
            <w:r>
              <w:rPr>
                <w:rFonts w:hint="eastAsia"/>
                <w:color w:val="000000"/>
                <w:sz w:val="18"/>
                <w:szCs w:val="18"/>
              </w:rPr>
              <w:t>日剩余年限约</w:t>
            </w:r>
            <w:r>
              <w:rPr>
                <w:color w:val="000000"/>
                <w:sz w:val="18"/>
                <w:szCs w:val="18"/>
              </w:rPr>
              <w:t>27.16</w:t>
            </w:r>
            <w:r>
              <w:rPr>
                <w:rFonts w:hint="eastAsia"/>
                <w:color w:val="000000"/>
                <w:sz w:val="18"/>
                <w:szCs w:val="18"/>
              </w:rPr>
              <w:t>年。</w:t>
            </w:r>
          </w:p>
        </w:tc>
      </w:tr>
      <w:tr>
        <w:tblPrEx>
          <w:tblCellMar>
            <w:top w:w="0" w:type="dxa"/>
            <w:left w:w="108" w:type="dxa"/>
            <w:bottom w:w="0" w:type="dxa"/>
            <w:right w:w="108" w:type="dxa"/>
          </w:tblCellMar>
        </w:tblPrEx>
        <w:trPr>
          <w:trHeight w:val="101" w:hRule="atLeast"/>
          <w:jc w:val="center"/>
        </w:trPr>
        <w:tc>
          <w:tcPr>
            <w:tcW w:w="196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sz w:val="18"/>
                <w:szCs w:val="18"/>
              </w:rPr>
            </w:pPr>
            <w:r>
              <w:rPr>
                <w:rFonts w:hint="eastAsia"/>
                <w:color w:val="000000"/>
                <w:sz w:val="18"/>
                <w:szCs w:val="18"/>
              </w:rPr>
              <w:t>地形、地势、水文、土壤及工程地质</w:t>
            </w:r>
          </w:p>
        </w:tc>
        <w:tc>
          <w:tcPr>
            <w:tcW w:w="7246"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 w:val="18"/>
                <w:szCs w:val="18"/>
              </w:rPr>
            </w:pPr>
            <w:r>
              <w:rPr>
                <w:rFonts w:hint="eastAsia"/>
                <w:color w:val="000000"/>
                <w:sz w:val="18"/>
                <w:szCs w:val="18"/>
              </w:rPr>
              <w:t>估价对象所在园区两面临街，地形平坦，不影响布局；无影响建筑修建的不良地势、地质、土壤和水文状况。</w:t>
            </w:r>
          </w:p>
        </w:tc>
      </w:tr>
      <w:tr>
        <w:tblPrEx>
          <w:tblCellMar>
            <w:top w:w="0" w:type="dxa"/>
            <w:left w:w="108" w:type="dxa"/>
            <w:bottom w:w="0" w:type="dxa"/>
            <w:right w:w="108" w:type="dxa"/>
          </w:tblCellMar>
        </w:tblPrEx>
        <w:trPr>
          <w:trHeight w:val="825" w:hRule="atLeast"/>
          <w:jc w:val="center"/>
        </w:trPr>
        <w:tc>
          <w:tcPr>
            <w:tcW w:w="196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sz w:val="18"/>
                <w:szCs w:val="18"/>
              </w:rPr>
            </w:pPr>
            <w:r>
              <w:rPr>
                <w:rFonts w:hint="eastAsia"/>
                <w:color w:val="000000"/>
                <w:sz w:val="18"/>
                <w:szCs w:val="18"/>
              </w:rPr>
              <w:t>开发程度</w:t>
            </w:r>
          </w:p>
        </w:tc>
        <w:tc>
          <w:tcPr>
            <w:tcW w:w="7246"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 w:val="18"/>
                <w:szCs w:val="18"/>
              </w:rPr>
            </w:pPr>
            <w:r>
              <w:rPr>
                <w:rFonts w:hint="eastAsia"/>
                <w:color w:val="000000"/>
                <w:sz w:val="18"/>
                <w:szCs w:val="18"/>
              </w:rPr>
              <w:t>本次估价土地使用权范围内已开发利用：开发程度达到宗地外“六通”（通上水、通下水、通电、通路、通讯、通气），宗地内“六通一平”（通上水、通下水、通电、通路、通讯、通气、场地平整），地面已做硬化处理。</w:t>
            </w:r>
          </w:p>
        </w:tc>
      </w:tr>
    </w:tbl>
    <w:p>
      <w:pPr>
        <w:spacing w:line="460" w:lineRule="exact"/>
        <w:ind w:firstLine="472" w:firstLineChars="196"/>
        <w:rPr>
          <w:b/>
          <w:bCs/>
          <w:color w:val="000000"/>
          <w:kern w:val="0"/>
          <w:sz w:val="24"/>
        </w:rPr>
      </w:pPr>
      <w:r>
        <w:rPr>
          <w:b/>
          <w:bCs/>
          <w:color w:val="000000"/>
          <w:kern w:val="0"/>
          <w:sz w:val="24"/>
        </w:rPr>
        <w:t>2</w:t>
      </w:r>
      <w:r>
        <w:rPr>
          <w:rFonts w:hint="eastAsia" w:ascii="宋体" w:hAnsi="宋体" w:cs="宋体"/>
          <w:b/>
          <w:bCs/>
          <w:color w:val="000000"/>
          <w:kern w:val="0"/>
          <w:sz w:val="24"/>
        </w:rPr>
        <w:t>、建筑物实物状况</w:t>
      </w:r>
    </w:p>
    <w:p>
      <w:pPr>
        <w:spacing w:line="460" w:lineRule="exact"/>
        <w:ind w:firstLine="460" w:firstLineChars="192"/>
        <w:rPr>
          <w:rFonts w:hAnsi="宋体"/>
          <w:color w:val="000000"/>
          <w:sz w:val="24"/>
        </w:rPr>
      </w:pPr>
      <w:r>
        <w:rPr>
          <w:rFonts w:hint="eastAsia" w:hAnsi="宋体"/>
          <w:color w:val="000000"/>
          <w:sz w:val="24"/>
        </w:rPr>
        <w:t>（</w:t>
      </w:r>
      <w:r>
        <w:rPr>
          <w:rFonts w:hAnsi="宋体"/>
          <w:color w:val="000000"/>
          <w:sz w:val="24"/>
        </w:rPr>
        <w:t>1</w:t>
      </w:r>
      <w:r>
        <w:rPr>
          <w:rFonts w:hint="eastAsia" w:hAnsi="宋体"/>
          <w:color w:val="000000"/>
          <w:sz w:val="24"/>
        </w:rPr>
        <w:t>）整体园区简介</w:t>
      </w:r>
    </w:p>
    <w:p>
      <w:pPr>
        <w:spacing w:line="460" w:lineRule="exact"/>
        <w:ind w:firstLine="460" w:firstLineChars="192"/>
        <w:rPr>
          <w:rFonts w:hAnsi="宋体"/>
          <w:color w:val="000000"/>
          <w:sz w:val="24"/>
        </w:rPr>
      </w:pPr>
      <w:r>
        <w:rPr>
          <w:rFonts w:hint="eastAsia" w:hAnsi="宋体"/>
          <w:color w:val="000000"/>
          <w:sz w:val="24"/>
        </w:rPr>
        <w:t>成都中汇制药有限公司位于成都市城西三环路外侧的金牛区蜀西路</w:t>
      </w:r>
      <w:r>
        <w:rPr>
          <w:rFonts w:hAnsi="宋体"/>
          <w:color w:val="000000"/>
          <w:sz w:val="24"/>
        </w:rPr>
        <w:t>30</w:t>
      </w:r>
      <w:r>
        <w:rPr>
          <w:rFonts w:hint="eastAsia" w:hAnsi="宋体"/>
          <w:color w:val="000000"/>
          <w:sz w:val="24"/>
        </w:rPr>
        <w:t>号，整体南北两面临街，共设</w:t>
      </w:r>
      <w:r>
        <w:rPr>
          <w:rFonts w:hAnsi="宋体"/>
          <w:color w:val="000000"/>
          <w:sz w:val="24"/>
        </w:rPr>
        <w:t>3</w:t>
      </w:r>
      <w:r>
        <w:rPr>
          <w:rFonts w:hint="eastAsia" w:hAnsi="宋体"/>
          <w:color w:val="000000"/>
          <w:sz w:val="24"/>
        </w:rPr>
        <w:t>处出入口（南侧蜀西路</w:t>
      </w:r>
      <w:r>
        <w:rPr>
          <w:rFonts w:hAnsi="宋体"/>
          <w:color w:val="000000"/>
          <w:sz w:val="24"/>
        </w:rPr>
        <w:t>2</w:t>
      </w:r>
      <w:r>
        <w:rPr>
          <w:rFonts w:hint="eastAsia" w:hAnsi="宋体"/>
          <w:color w:val="000000"/>
          <w:sz w:val="24"/>
        </w:rPr>
        <w:t>处，北侧兴盛东街</w:t>
      </w:r>
      <w:r>
        <w:rPr>
          <w:rFonts w:hAnsi="宋体"/>
          <w:color w:val="000000"/>
          <w:sz w:val="24"/>
        </w:rPr>
        <w:t>1</w:t>
      </w:r>
      <w:r>
        <w:rPr>
          <w:rFonts w:hint="eastAsia" w:hAnsi="宋体"/>
          <w:color w:val="000000"/>
          <w:sz w:val="24"/>
        </w:rPr>
        <w:t>处），由砖墙或金属栅栏镂空围墙围合独立使用。</w:t>
      </w:r>
    </w:p>
    <w:p>
      <w:pPr>
        <w:spacing w:line="460" w:lineRule="exact"/>
        <w:ind w:firstLine="460" w:firstLineChars="192"/>
        <w:rPr>
          <w:rFonts w:hAnsi="宋体"/>
          <w:color w:val="000000"/>
          <w:sz w:val="24"/>
        </w:rPr>
      </w:pPr>
      <w:r>
        <w:rPr>
          <w:rFonts w:hint="eastAsia" w:hAnsi="宋体"/>
          <w:color w:val="000000"/>
          <w:sz w:val="24"/>
        </w:rPr>
        <w:t>整个园区实际占地约</w:t>
      </w:r>
      <w:r>
        <w:rPr>
          <w:rFonts w:hAnsi="宋体"/>
          <w:color w:val="000000"/>
          <w:sz w:val="24"/>
        </w:rPr>
        <w:t>84</w:t>
      </w:r>
      <w:r>
        <w:rPr>
          <w:rFonts w:hint="eastAsia" w:hAnsi="宋体"/>
          <w:color w:val="000000"/>
          <w:sz w:val="24"/>
        </w:rPr>
        <w:t>亩（共占用南北两宗地，南侧宗地约</w:t>
      </w:r>
      <w:r>
        <w:rPr>
          <w:rFonts w:hAnsi="宋体"/>
          <w:color w:val="000000"/>
          <w:sz w:val="24"/>
        </w:rPr>
        <w:t>32</w:t>
      </w:r>
      <w:r>
        <w:rPr>
          <w:rFonts w:hint="eastAsia" w:hAnsi="宋体"/>
          <w:color w:val="000000"/>
          <w:sz w:val="24"/>
        </w:rPr>
        <w:t>亩、北侧宗地约</w:t>
      </w:r>
      <w:r>
        <w:rPr>
          <w:rFonts w:hAnsi="宋体"/>
          <w:color w:val="000000"/>
          <w:sz w:val="24"/>
        </w:rPr>
        <w:t>52</w:t>
      </w:r>
      <w:r>
        <w:rPr>
          <w:rFonts w:hint="eastAsia" w:hAnsi="宋体"/>
          <w:color w:val="000000"/>
          <w:sz w:val="24"/>
        </w:rPr>
        <w:t>亩），园区内建成有十余栋建筑物（包括厂房、办公楼、宿舍楼、门卫室等）。据权利人介绍和提供的资料显示，本次评估的有证建筑物大致始建于</w:t>
      </w:r>
      <w:r>
        <w:rPr>
          <w:rFonts w:hAnsi="宋体"/>
          <w:color w:val="000000"/>
          <w:sz w:val="24"/>
        </w:rPr>
        <w:t>1997</w:t>
      </w:r>
      <w:r>
        <w:rPr>
          <w:rFonts w:hint="eastAsia" w:hAnsi="宋体"/>
          <w:color w:val="000000"/>
          <w:sz w:val="24"/>
        </w:rPr>
        <w:t>年，建成于</w:t>
      </w:r>
      <w:r>
        <w:rPr>
          <w:rFonts w:hAnsi="宋体"/>
          <w:color w:val="000000"/>
          <w:sz w:val="24"/>
        </w:rPr>
        <w:t>1998</w:t>
      </w:r>
      <w:r>
        <w:rPr>
          <w:rFonts w:hint="eastAsia" w:hAnsi="宋体"/>
          <w:color w:val="000000"/>
          <w:sz w:val="24"/>
        </w:rPr>
        <w:t>年。</w:t>
      </w:r>
    </w:p>
    <w:p>
      <w:pPr>
        <w:spacing w:line="460" w:lineRule="exact"/>
        <w:ind w:firstLine="460" w:firstLineChars="192"/>
        <w:rPr>
          <w:rFonts w:hAnsi="宋体"/>
          <w:color w:val="000000"/>
          <w:sz w:val="24"/>
        </w:rPr>
      </w:pPr>
      <w:r>
        <w:rPr>
          <w:rFonts w:hint="eastAsia" w:hAnsi="宋体"/>
          <w:color w:val="000000"/>
          <w:sz w:val="24"/>
        </w:rPr>
        <w:t>经实地查勘（</w:t>
      </w:r>
      <w:r>
        <w:rPr>
          <w:rFonts w:hAnsi="宋体"/>
          <w:color w:val="000000"/>
          <w:sz w:val="24"/>
        </w:rPr>
        <w:t>2022</w:t>
      </w:r>
      <w:r>
        <w:rPr>
          <w:rFonts w:hint="eastAsia" w:hAnsi="宋体"/>
          <w:color w:val="000000"/>
          <w:sz w:val="24"/>
        </w:rPr>
        <w:t>年</w:t>
      </w:r>
      <w:r>
        <w:rPr>
          <w:rFonts w:hAnsi="宋体"/>
          <w:color w:val="000000"/>
          <w:sz w:val="24"/>
        </w:rPr>
        <w:t>4</w:t>
      </w:r>
      <w:r>
        <w:rPr>
          <w:rFonts w:hint="eastAsia" w:hAnsi="宋体"/>
          <w:color w:val="000000"/>
          <w:sz w:val="24"/>
        </w:rPr>
        <w:t>月</w:t>
      </w:r>
      <w:r>
        <w:rPr>
          <w:rFonts w:hAnsi="宋体"/>
          <w:color w:val="000000"/>
          <w:sz w:val="24"/>
        </w:rPr>
        <w:t>2</w:t>
      </w:r>
      <w:r>
        <w:rPr>
          <w:rFonts w:hint="eastAsia" w:hAnsi="宋体"/>
          <w:color w:val="000000"/>
          <w:sz w:val="24"/>
        </w:rPr>
        <w:t>日），估价对象原企业早已停止生产，权利人介绍约于</w:t>
      </w:r>
      <w:r>
        <w:rPr>
          <w:rFonts w:hAnsi="宋体"/>
          <w:color w:val="000000"/>
          <w:sz w:val="24"/>
        </w:rPr>
        <w:t>2015</w:t>
      </w:r>
      <w:r>
        <w:rPr>
          <w:rFonts w:hint="eastAsia" w:hAnsi="宋体"/>
          <w:color w:val="000000"/>
          <w:sz w:val="24"/>
        </w:rPr>
        <w:t>年起陆续开始用于规模化新型产业经营。现作为“广和都市工业总部”和“广和汽车孵化园”及配套经营性汽车展场、停车场、商业充电桩等，地面建筑物全部用于经营（场地内的无证建筑等均作为配套的停车场、洗车场、商业充电桩、电商库房等经营配套用房）。通水、电、视、讯。</w:t>
      </w:r>
    </w:p>
    <w:p>
      <w:pPr>
        <w:spacing w:line="460" w:lineRule="exact"/>
        <w:ind w:firstLine="460" w:firstLineChars="192"/>
        <w:rPr>
          <w:rFonts w:hAnsi="宋体"/>
          <w:color w:val="000000"/>
          <w:sz w:val="24"/>
        </w:rPr>
      </w:pPr>
      <w:r>
        <w:rPr>
          <w:rFonts w:hint="eastAsia" w:hAnsi="宋体"/>
          <w:color w:val="000000"/>
          <w:sz w:val="24"/>
        </w:rPr>
        <w:t>本次仅对南侧</w:t>
      </w:r>
      <w:r>
        <w:rPr>
          <w:rFonts w:hAnsi="宋体"/>
          <w:color w:val="000000"/>
          <w:sz w:val="24"/>
        </w:rPr>
        <w:t>32</w:t>
      </w:r>
      <w:r>
        <w:rPr>
          <w:rFonts w:hint="eastAsia" w:hAnsi="宋体"/>
          <w:color w:val="000000"/>
          <w:sz w:val="24"/>
        </w:rPr>
        <w:t>亩宗地及地上建筑物进行市场价值评估。未考虑两宗地毗邻所带来的增值或减值效应。</w:t>
      </w:r>
    </w:p>
    <w:p>
      <w:pPr>
        <w:spacing w:line="460" w:lineRule="exact"/>
        <w:ind w:firstLine="460" w:firstLineChars="192"/>
        <w:rPr>
          <w:rFonts w:hAnsi="宋体"/>
          <w:color w:val="000000"/>
          <w:sz w:val="24"/>
        </w:rPr>
      </w:pPr>
      <w:r>
        <w:rPr>
          <w:rFonts w:hint="eastAsia" w:hAnsi="宋体"/>
          <w:color w:val="000000"/>
          <w:sz w:val="24"/>
        </w:rPr>
        <w:t>（</w:t>
      </w:r>
      <w:r>
        <w:rPr>
          <w:rFonts w:hAnsi="宋体"/>
          <w:color w:val="000000"/>
          <w:sz w:val="24"/>
        </w:rPr>
        <w:t>2</w:t>
      </w:r>
      <w:r>
        <w:rPr>
          <w:rFonts w:hint="eastAsia" w:hAnsi="宋体"/>
          <w:color w:val="000000"/>
          <w:sz w:val="24"/>
        </w:rPr>
        <w:t>）估价对象实物状况</w:t>
      </w:r>
    </w:p>
    <w:p>
      <w:pPr>
        <w:spacing w:line="460" w:lineRule="exact"/>
        <w:ind w:firstLine="460" w:firstLineChars="192"/>
        <w:rPr>
          <w:rFonts w:hAnsi="宋体"/>
          <w:color w:val="000000"/>
          <w:sz w:val="24"/>
        </w:rPr>
      </w:pPr>
      <w:r>
        <w:rPr>
          <w:rFonts w:hint="eastAsia" w:hAnsi="宋体"/>
          <w:color w:val="000000"/>
          <w:sz w:val="24"/>
        </w:rPr>
        <w:t>本报告中的估价对象为地面建筑物共</w:t>
      </w:r>
      <w:r>
        <w:rPr>
          <w:rFonts w:hAnsi="宋体"/>
          <w:color w:val="000000"/>
          <w:sz w:val="24"/>
        </w:rPr>
        <w:t>6</w:t>
      </w:r>
      <w:r>
        <w:rPr>
          <w:rFonts w:hint="eastAsia" w:hAnsi="宋体"/>
          <w:color w:val="000000"/>
          <w:sz w:val="24"/>
        </w:rPr>
        <w:t>栋、评估总建筑面积</w:t>
      </w:r>
      <w:r>
        <w:rPr>
          <w:rFonts w:hAnsi="宋体"/>
          <w:color w:val="000000"/>
          <w:sz w:val="24"/>
        </w:rPr>
        <w:fldChar w:fldCharType="begin"/>
      </w:r>
      <w:r>
        <w:rPr>
          <w:rFonts w:hAnsi="宋体"/>
          <w:color w:val="000000"/>
          <w:sz w:val="24"/>
        </w:rPr>
        <w:instrText xml:space="preserve"> =SUM(ABOVE) </w:instrText>
      </w:r>
      <w:r>
        <w:rPr>
          <w:rFonts w:hAnsi="宋体"/>
          <w:color w:val="000000"/>
          <w:sz w:val="24"/>
        </w:rPr>
        <w:fldChar w:fldCharType="separate"/>
      </w:r>
      <w:r>
        <w:rPr>
          <w:rFonts w:hAnsi="宋体"/>
          <w:color w:val="000000"/>
          <w:sz w:val="24"/>
        </w:rPr>
        <w:t>31454.69</w:t>
      </w:r>
      <w:r>
        <w:rPr>
          <w:rFonts w:hAnsi="宋体"/>
          <w:color w:val="000000"/>
          <w:sz w:val="24"/>
        </w:rPr>
        <w:fldChar w:fldCharType="end"/>
      </w:r>
      <w:r>
        <w:rPr>
          <w:rFonts w:hint="eastAsia" w:hAnsi="宋体"/>
          <w:color w:val="000000"/>
          <w:sz w:val="24"/>
        </w:rPr>
        <w:t>㎡（其中取得权证的共</w:t>
      </w:r>
      <w:r>
        <w:rPr>
          <w:rFonts w:hAnsi="宋体"/>
          <w:color w:val="000000"/>
          <w:sz w:val="24"/>
        </w:rPr>
        <w:t>3</w:t>
      </w:r>
      <w:r>
        <w:rPr>
          <w:rFonts w:hint="eastAsia" w:hAnsi="宋体"/>
          <w:color w:val="000000"/>
          <w:sz w:val="24"/>
        </w:rPr>
        <w:t>栋、证载面积</w:t>
      </w:r>
      <w:r>
        <w:rPr>
          <w:rFonts w:hAnsi="宋体"/>
          <w:color w:val="000000"/>
          <w:sz w:val="24"/>
        </w:rPr>
        <w:t>31409</w:t>
      </w:r>
      <w:r>
        <w:rPr>
          <w:rFonts w:hint="eastAsia" w:hAnsi="宋体"/>
          <w:color w:val="000000"/>
          <w:sz w:val="24"/>
        </w:rPr>
        <w:t>㎡，无证房屋共</w:t>
      </w:r>
      <w:r>
        <w:rPr>
          <w:rFonts w:hAnsi="宋体"/>
          <w:color w:val="000000"/>
          <w:sz w:val="24"/>
        </w:rPr>
        <w:t>3</w:t>
      </w:r>
      <w:r>
        <w:rPr>
          <w:rFonts w:hint="eastAsia" w:hAnsi="宋体"/>
          <w:color w:val="000000"/>
          <w:sz w:val="24"/>
        </w:rPr>
        <w:t>栋、测绘面积共</w:t>
      </w:r>
      <w:r>
        <w:rPr>
          <w:rFonts w:hAnsi="宋体"/>
          <w:color w:val="000000"/>
          <w:sz w:val="24"/>
        </w:rPr>
        <w:t>45.69</w:t>
      </w:r>
      <w:r>
        <w:rPr>
          <w:rFonts w:hint="eastAsia" w:hAnsi="宋体"/>
          <w:color w:val="000000"/>
          <w:sz w:val="24"/>
        </w:rPr>
        <w:t>㎡），建筑物实物状况详见下表。</w:t>
      </w:r>
    </w:p>
    <w:p>
      <w:pPr>
        <w:spacing w:line="480" w:lineRule="exact"/>
        <w:rPr>
          <w:rFonts w:hAnsi="宋体"/>
          <w:color w:val="000000"/>
          <w:sz w:val="24"/>
        </w:rPr>
        <w:sectPr>
          <w:headerReference r:id="rId3" w:type="default"/>
          <w:footerReference r:id="rId4" w:type="default"/>
          <w:footerReference r:id="rId5" w:type="even"/>
          <w:pgSz w:w="11906" w:h="16838"/>
          <w:pgMar w:top="1400" w:right="1287" w:bottom="1247" w:left="1440" w:header="851" w:footer="992" w:gutter="0"/>
          <w:pgNumType w:start="0"/>
          <w:cols w:space="720" w:num="1"/>
          <w:titlePg/>
          <w:docGrid w:type="lines" w:linePitch="312" w:charSpace="0"/>
        </w:sectPr>
      </w:pPr>
    </w:p>
    <w:p>
      <w:pPr>
        <w:pStyle w:val="11"/>
        <w:spacing w:line="500" w:lineRule="exact"/>
        <w:ind w:left="560" w:firstLine="5438" w:firstLineChars="2266"/>
        <w:outlineLvl w:val="2"/>
        <w:rPr>
          <w:color w:val="000000"/>
          <w:sz w:val="24"/>
          <w:szCs w:val="24"/>
          <w:lang w:val="zh-CN"/>
        </w:rPr>
      </w:pPr>
      <w:r>
        <w:rPr>
          <w:rFonts w:hint="eastAsia" w:ascii="宋体" w:hAnsi="宋体" w:cs="宋体"/>
          <w:color w:val="000000"/>
          <w:sz w:val="24"/>
          <w:szCs w:val="24"/>
          <w:lang w:val="zh-CN"/>
        </w:rPr>
        <w:t>《建筑物实物状况表》</w:t>
      </w:r>
    </w:p>
    <w:tbl>
      <w:tblPr>
        <w:tblStyle w:val="35"/>
        <w:tblW w:w="144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992"/>
        <w:gridCol w:w="500"/>
        <w:gridCol w:w="492"/>
        <w:gridCol w:w="851"/>
        <w:gridCol w:w="661"/>
        <w:gridCol w:w="720"/>
        <w:gridCol w:w="900"/>
        <w:gridCol w:w="1080"/>
        <w:gridCol w:w="1260"/>
        <w:gridCol w:w="720"/>
        <w:gridCol w:w="540"/>
        <w:gridCol w:w="892"/>
        <w:gridCol w:w="8"/>
        <w:gridCol w:w="720"/>
        <w:gridCol w:w="153"/>
        <w:gridCol w:w="568"/>
        <w:gridCol w:w="708"/>
        <w:gridCol w:w="851"/>
        <w:gridCol w:w="6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44" w:type="dxa"/>
            <w:vAlign w:val="center"/>
          </w:tcPr>
          <w:p>
            <w:pPr>
              <w:spacing w:line="260" w:lineRule="exact"/>
              <w:jc w:val="center"/>
              <w:rPr>
                <w:color w:val="000000"/>
                <w:kern w:val="0"/>
                <w:sz w:val="18"/>
                <w:szCs w:val="18"/>
              </w:rPr>
            </w:pPr>
            <w:r>
              <w:rPr>
                <w:rFonts w:hint="eastAsia" w:hAnsi="宋体"/>
                <w:color w:val="000000"/>
                <w:kern w:val="0"/>
                <w:sz w:val="18"/>
                <w:szCs w:val="18"/>
              </w:rPr>
              <w:t>序号</w:t>
            </w:r>
          </w:p>
        </w:tc>
        <w:tc>
          <w:tcPr>
            <w:tcW w:w="992" w:type="dxa"/>
            <w:vAlign w:val="center"/>
          </w:tcPr>
          <w:p>
            <w:pPr>
              <w:spacing w:line="260" w:lineRule="exact"/>
              <w:jc w:val="center"/>
              <w:rPr>
                <w:color w:val="000000"/>
                <w:kern w:val="0"/>
                <w:sz w:val="18"/>
                <w:szCs w:val="18"/>
              </w:rPr>
            </w:pPr>
            <w:r>
              <w:rPr>
                <w:rFonts w:hint="eastAsia" w:hAnsi="宋体"/>
                <w:color w:val="000000"/>
                <w:kern w:val="0"/>
                <w:sz w:val="18"/>
                <w:szCs w:val="18"/>
              </w:rPr>
              <w:t>《房屋所有权证》证号</w:t>
            </w:r>
          </w:p>
        </w:tc>
        <w:tc>
          <w:tcPr>
            <w:tcW w:w="500" w:type="dxa"/>
            <w:vAlign w:val="center"/>
          </w:tcPr>
          <w:p>
            <w:pPr>
              <w:spacing w:line="260" w:lineRule="exact"/>
              <w:jc w:val="center"/>
              <w:rPr>
                <w:color w:val="000000"/>
                <w:kern w:val="0"/>
                <w:sz w:val="18"/>
                <w:szCs w:val="18"/>
              </w:rPr>
            </w:pPr>
            <w:r>
              <w:rPr>
                <w:rFonts w:hint="eastAsia" w:hAnsi="宋体"/>
                <w:color w:val="000000"/>
                <w:kern w:val="0"/>
                <w:sz w:val="18"/>
                <w:szCs w:val="18"/>
              </w:rPr>
              <w:t>建筑结构</w:t>
            </w:r>
          </w:p>
        </w:tc>
        <w:tc>
          <w:tcPr>
            <w:tcW w:w="492" w:type="dxa"/>
            <w:vAlign w:val="center"/>
          </w:tcPr>
          <w:p>
            <w:pPr>
              <w:spacing w:line="260" w:lineRule="exact"/>
              <w:jc w:val="center"/>
              <w:rPr>
                <w:color w:val="000000"/>
                <w:kern w:val="0"/>
                <w:sz w:val="18"/>
                <w:szCs w:val="18"/>
              </w:rPr>
            </w:pPr>
            <w:r>
              <w:rPr>
                <w:rFonts w:hint="eastAsia" w:hAnsi="宋体"/>
                <w:color w:val="000000"/>
                <w:kern w:val="0"/>
                <w:sz w:val="18"/>
                <w:szCs w:val="18"/>
              </w:rPr>
              <w:t>证载用途</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修建</w:t>
            </w:r>
          </w:p>
          <w:p>
            <w:pPr>
              <w:spacing w:line="260" w:lineRule="exact"/>
              <w:jc w:val="center"/>
              <w:rPr>
                <w:color w:val="000000"/>
                <w:kern w:val="0"/>
                <w:sz w:val="18"/>
                <w:szCs w:val="18"/>
              </w:rPr>
            </w:pPr>
            <w:r>
              <w:rPr>
                <w:rFonts w:hint="eastAsia" w:hAnsi="宋体"/>
                <w:color w:val="000000"/>
                <w:kern w:val="0"/>
                <w:sz w:val="18"/>
                <w:szCs w:val="18"/>
              </w:rPr>
              <w:t>年代</w:t>
            </w:r>
          </w:p>
        </w:tc>
        <w:tc>
          <w:tcPr>
            <w:tcW w:w="661" w:type="dxa"/>
            <w:vAlign w:val="center"/>
          </w:tcPr>
          <w:p>
            <w:pPr>
              <w:spacing w:line="260" w:lineRule="exact"/>
              <w:jc w:val="center"/>
              <w:rPr>
                <w:color w:val="000000"/>
                <w:kern w:val="0"/>
                <w:sz w:val="18"/>
                <w:szCs w:val="18"/>
              </w:rPr>
            </w:pPr>
            <w:r>
              <w:rPr>
                <w:rFonts w:hint="eastAsia" w:hAnsi="宋体"/>
                <w:color w:val="000000"/>
                <w:kern w:val="0"/>
                <w:sz w:val="18"/>
                <w:szCs w:val="18"/>
              </w:rPr>
              <w:t>测绘栋号</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层高（米）</w:t>
            </w:r>
          </w:p>
        </w:tc>
        <w:tc>
          <w:tcPr>
            <w:tcW w:w="900" w:type="dxa"/>
            <w:vAlign w:val="center"/>
          </w:tcPr>
          <w:p>
            <w:pPr>
              <w:spacing w:line="260" w:lineRule="exact"/>
              <w:jc w:val="center"/>
              <w:rPr>
                <w:color w:val="000000"/>
                <w:kern w:val="0"/>
                <w:sz w:val="18"/>
                <w:szCs w:val="18"/>
              </w:rPr>
            </w:pPr>
            <w:r>
              <w:rPr>
                <w:rFonts w:hint="eastAsia" w:hAnsi="宋体"/>
                <w:color w:val="000000"/>
                <w:kern w:val="0"/>
                <w:sz w:val="18"/>
                <w:szCs w:val="18"/>
              </w:rPr>
              <w:t>实际总楼层</w:t>
            </w:r>
          </w:p>
        </w:tc>
        <w:tc>
          <w:tcPr>
            <w:tcW w:w="1080" w:type="dxa"/>
            <w:vAlign w:val="center"/>
          </w:tcPr>
          <w:p>
            <w:pPr>
              <w:spacing w:line="260" w:lineRule="exact"/>
              <w:jc w:val="center"/>
              <w:rPr>
                <w:color w:val="000000"/>
                <w:kern w:val="0"/>
                <w:sz w:val="18"/>
                <w:szCs w:val="18"/>
              </w:rPr>
            </w:pPr>
            <w:r>
              <w:rPr>
                <w:rFonts w:hint="eastAsia" w:hAnsi="宋体"/>
                <w:color w:val="000000"/>
                <w:kern w:val="0"/>
                <w:sz w:val="18"/>
                <w:szCs w:val="18"/>
              </w:rPr>
              <w:t>建筑面积（㎡）</w:t>
            </w:r>
          </w:p>
        </w:tc>
        <w:tc>
          <w:tcPr>
            <w:tcW w:w="1260" w:type="dxa"/>
            <w:vAlign w:val="center"/>
          </w:tcPr>
          <w:p>
            <w:pPr>
              <w:spacing w:line="260" w:lineRule="exact"/>
              <w:jc w:val="center"/>
              <w:rPr>
                <w:color w:val="000000"/>
                <w:kern w:val="0"/>
                <w:sz w:val="18"/>
                <w:szCs w:val="18"/>
              </w:rPr>
            </w:pPr>
            <w:r>
              <w:rPr>
                <w:rFonts w:hint="eastAsia" w:hAnsi="宋体"/>
                <w:color w:val="000000"/>
                <w:kern w:val="0"/>
                <w:sz w:val="18"/>
                <w:szCs w:val="18"/>
              </w:rPr>
              <w:t>总体描述</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外墙</w:t>
            </w:r>
          </w:p>
        </w:tc>
        <w:tc>
          <w:tcPr>
            <w:tcW w:w="540" w:type="dxa"/>
            <w:vAlign w:val="center"/>
          </w:tcPr>
          <w:p>
            <w:pPr>
              <w:spacing w:line="260" w:lineRule="exact"/>
              <w:jc w:val="center"/>
              <w:rPr>
                <w:color w:val="000000"/>
                <w:kern w:val="0"/>
                <w:sz w:val="18"/>
                <w:szCs w:val="18"/>
              </w:rPr>
            </w:pPr>
            <w:r>
              <w:rPr>
                <w:rFonts w:hint="eastAsia" w:hAnsi="宋体"/>
                <w:color w:val="000000"/>
                <w:kern w:val="0"/>
                <w:sz w:val="18"/>
                <w:szCs w:val="18"/>
              </w:rPr>
              <w:t>楼</w:t>
            </w:r>
          </w:p>
          <w:p>
            <w:pPr>
              <w:spacing w:line="260" w:lineRule="exact"/>
              <w:jc w:val="center"/>
              <w:rPr>
                <w:color w:val="000000"/>
                <w:kern w:val="0"/>
                <w:sz w:val="18"/>
                <w:szCs w:val="18"/>
              </w:rPr>
            </w:pPr>
            <w:r>
              <w:rPr>
                <w:rFonts w:hint="eastAsia" w:hAnsi="宋体"/>
                <w:color w:val="000000"/>
                <w:kern w:val="0"/>
                <w:sz w:val="18"/>
                <w:szCs w:val="18"/>
              </w:rPr>
              <w:t>层</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功能分布</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内墙</w:t>
            </w:r>
          </w:p>
        </w:tc>
        <w:tc>
          <w:tcPr>
            <w:tcW w:w="72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地坪</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天棚</w:t>
            </w:r>
          </w:p>
        </w:tc>
        <w:tc>
          <w:tcPr>
            <w:tcW w:w="91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门窗</w:t>
            </w:r>
          </w:p>
        </w:tc>
        <w:tc>
          <w:tcPr>
            <w:tcW w:w="1080" w:type="dxa"/>
            <w:vAlign w:val="center"/>
          </w:tcPr>
          <w:p>
            <w:pPr>
              <w:spacing w:line="260" w:lineRule="exact"/>
              <w:jc w:val="center"/>
              <w:rPr>
                <w:color w:val="000000"/>
                <w:kern w:val="0"/>
                <w:sz w:val="18"/>
                <w:szCs w:val="18"/>
              </w:rPr>
            </w:pPr>
            <w:r>
              <w:rPr>
                <w:rFonts w:hint="eastAsia" w:hAnsi="宋体"/>
                <w:color w:val="000000"/>
                <w:kern w:val="0"/>
                <w:sz w:val="18"/>
                <w:szCs w:val="18"/>
              </w:rPr>
              <w:t>利用现状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restart"/>
            <w:vAlign w:val="center"/>
          </w:tcPr>
          <w:p>
            <w:pPr>
              <w:spacing w:line="260" w:lineRule="exact"/>
              <w:jc w:val="center"/>
              <w:rPr>
                <w:color w:val="000000"/>
                <w:kern w:val="0"/>
                <w:sz w:val="18"/>
                <w:szCs w:val="18"/>
              </w:rPr>
            </w:pPr>
            <w:r>
              <w:rPr>
                <w:color w:val="000000"/>
                <w:kern w:val="0"/>
                <w:sz w:val="18"/>
                <w:szCs w:val="18"/>
              </w:rPr>
              <w:t>1</w:t>
            </w:r>
          </w:p>
        </w:tc>
        <w:tc>
          <w:tcPr>
            <w:tcW w:w="992"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成房权证监证字第</w:t>
            </w:r>
            <w:r>
              <w:rPr>
                <w:color w:val="000000"/>
                <w:kern w:val="0"/>
                <w:sz w:val="18"/>
                <w:szCs w:val="18"/>
              </w:rPr>
              <w:t>2069860</w:t>
            </w:r>
            <w:r>
              <w:rPr>
                <w:rFonts w:hint="eastAsia" w:hAnsi="宋体"/>
                <w:color w:val="000000"/>
                <w:kern w:val="0"/>
                <w:sz w:val="18"/>
                <w:szCs w:val="18"/>
              </w:rPr>
              <w:t>号</w:t>
            </w:r>
            <w:r>
              <w:rPr>
                <w:color w:val="000000"/>
                <w:kern w:val="0"/>
                <w:sz w:val="18"/>
                <w:szCs w:val="18"/>
              </w:rPr>
              <w:t>/</w:t>
            </w:r>
            <w:r>
              <w:rPr>
                <w:rFonts w:hint="eastAsia" w:hAnsi="宋体"/>
                <w:color w:val="000000"/>
                <w:kern w:val="0"/>
                <w:sz w:val="18"/>
                <w:szCs w:val="18"/>
              </w:rPr>
              <w:t>成房权证监证字第</w:t>
            </w:r>
            <w:r>
              <w:rPr>
                <w:color w:val="000000"/>
                <w:kern w:val="0"/>
                <w:sz w:val="18"/>
                <w:szCs w:val="18"/>
              </w:rPr>
              <w:t>2069857</w:t>
            </w:r>
            <w:r>
              <w:rPr>
                <w:rFonts w:hint="eastAsia" w:hAnsi="宋体"/>
                <w:color w:val="000000"/>
                <w:kern w:val="0"/>
                <w:sz w:val="18"/>
                <w:szCs w:val="18"/>
              </w:rPr>
              <w:t>号</w:t>
            </w:r>
          </w:p>
        </w:tc>
        <w:tc>
          <w:tcPr>
            <w:tcW w:w="50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钢混</w:t>
            </w:r>
          </w:p>
        </w:tc>
        <w:tc>
          <w:tcPr>
            <w:tcW w:w="492"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工厂</w:t>
            </w:r>
          </w:p>
        </w:tc>
        <w:tc>
          <w:tcPr>
            <w:tcW w:w="851" w:type="dxa"/>
            <w:vMerge w:val="restart"/>
            <w:vAlign w:val="center"/>
          </w:tcPr>
          <w:p>
            <w:pPr>
              <w:spacing w:line="260" w:lineRule="exact"/>
              <w:jc w:val="center"/>
              <w:rPr>
                <w:color w:val="000000"/>
                <w:kern w:val="0"/>
                <w:sz w:val="18"/>
                <w:szCs w:val="18"/>
              </w:rPr>
            </w:pPr>
            <w:r>
              <w:rPr>
                <w:color w:val="000000"/>
                <w:kern w:val="0"/>
                <w:sz w:val="18"/>
                <w:szCs w:val="18"/>
              </w:rPr>
              <w:t>1998</w:t>
            </w:r>
            <w:r>
              <w:rPr>
                <w:rFonts w:hint="eastAsia" w:hAnsi="宋体"/>
                <w:color w:val="000000"/>
                <w:kern w:val="0"/>
                <w:sz w:val="18"/>
                <w:szCs w:val="18"/>
              </w:rPr>
              <w:t>年</w:t>
            </w:r>
          </w:p>
        </w:tc>
        <w:tc>
          <w:tcPr>
            <w:tcW w:w="661" w:type="dxa"/>
            <w:vMerge w:val="restart"/>
            <w:vAlign w:val="center"/>
          </w:tcPr>
          <w:p>
            <w:pPr>
              <w:spacing w:line="260" w:lineRule="exact"/>
              <w:jc w:val="center"/>
              <w:rPr>
                <w:color w:val="000000"/>
                <w:kern w:val="0"/>
                <w:sz w:val="18"/>
                <w:szCs w:val="18"/>
              </w:rPr>
            </w:pPr>
            <w:r>
              <w:rPr>
                <w:color w:val="000000"/>
                <w:kern w:val="0"/>
                <w:sz w:val="18"/>
                <w:szCs w:val="18"/>
              </w:rPr>
              <w:t>1</w:t>
            </w:r>
          </w:p>
        </w:tc>
        <w:tc>
          <w:tcPr>
            <w:tcW w:w="72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均约</w:t>
            </w:r>
            <w:r>
              <w:rPr>
                <w:color w:val="000000"/>
                <w:kern w:val="0"/>
                <w:sz w:val="18"/>
                <w:szCs w:val="18"/>
              </w:rPr>
              <w:t>3.2</w:t>
            </w:r>
          </w:p>
        </w:tc>
        <w:tc>
          <w:tcPr>
            <w:tcW w:w="900" w:type="dxa"/>
            <w:vMerge w:val="restart"/>
            <w:vAlign w:val="center"/>
          </w:tcPr>
          <w:p>
            <w:pPr>
              <w:spacing w:line="260" w:lineRule="exact"/>
              <w:jc w:val="center"/>
              <w:rPr>
                <w:color w:val="000000"/>
                <w:kern w:val="0"/>
                <w:sz w:val="18"/>
                <w:szCs w:val="18"/>
              </w:rPr>
            </w:pPr>
            <w:r>
              <w:rPr>
                <w:color w:val="000000"/>
                <w:kern w:val="0"/>
                <w:sz w:val="18"/>
                <w:szCs w:val="18"/>
              </w:rPr>
              <w:t>2</w:t>
            </w:r>
            <w:r>
              <w:rPr>
                <w:rFonts w:hint="eastAsia" w:hAnsi="宋体"/>
                <w:color w:val="000000"/>
                <w:kern w:val="0"/>
                <w:sz w:val="18"/>
                <w:szCs w:val="18"/>
              </w:rPr>
              <w:t>栋</w:t>
            </w:r>
            <w:r>
              <w:rPr>
                <w:color w:val="000000"/>
                <w:kern w:val="0"/>
                <w:sz w:val="18"/>
                <w:szCs w:val="18"/>
              </w:rPr>
              <w:t>1-2</w:t>
            </w:r>
            <w:r>
              <w:rPr>
                <w:rFonts w:hint="eastAsia" w:hAnsi="宋体"/>
                <w:color w:val="000000"/>
                <w:kern w:val="0"/>
                <w:sz w:val="18"/>
                <w:szCs w:val="18"/>
              </w:rPr>
              <w:t>层</w:t>
            </w:r>
          </w:p>
        </w:tc>
        <w:tc>
          <w:tcPr>
            <w:tcW w:w="1080" w:type="dxa"/>
            <w:vMerge w:val="restart"/>
            <w:vAlign w:val="center"/>
          </w:tcPr>
          <w:p>
            <w:pPr>
              <w:spacing w:line="260" w:lineRule="exact"/>
              <w:jc w:val="center"/>
              <w:rPr>
                <w:color w:val="000000"/>
                <w:kern w:val="0"/>
                <w:sz w:val="18"/>
                <w:szCs w:val="18"/>
              </w:rPr>
            </w:pPr>
            <w:r>
              <w:rPr>
                <w:color w:val="000000"/>
                <w:kern w:val="0"/>
                <w:sz w:val="18"/>
                <w:szCs w:val="18"/>
              </w:rPr>
              <w:t>15876</w:t>
            </w:r>
          </w:p>
        </w:tc>
        <w:tc>
          <w:tcPr>
            <w:tcW w:w="126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与西侧工厂紧邻，钢混结构（无地下室）地面</w:t>
            </w:r>
            <w:r>
              <w:rPr>
                <w:color w:val="000000"/>
                <w:kern w:val="0"/>
                <w:sz w:val="18"/>
                <w:szCs w:val="18"/>
              </w:rPr>
              <w:t>1</w:t>
            </w:r>
            <w:r>
              <w:rPr>
                <w:rFonts w:hint="eastAsia" w:hAnsi="宋体"/>
                <w:color w:val="000000"/>
                <w:kern w:val="0"/>
                <w:sz w:val="18"/>
                <w:szCs w:val="18"/>
              </w:rPr>
              <w:t>层用于经营，</w:t>
            </w:r>
            <w:r>
              <w:rPr>
                <w:color w:val="000000"/>
                <w:kern w:val="0"/>
                <w:sz w:val="18"/>
                <w:szCs w:val="18"/>
              </w:rPr>
              <w:t>2</w:t>
            </w:r>
            <w:r>
              <w:rPr>
                <w:rFonts w:hint="eastAsia" w:hAnsi="宋体"/>
                <w:color w:val="000000"/>
                <w:kern w:val="0"/>
                <w:sz w:val="18"/>
                <w:szCs w:val="18"/>
              </w:rPr>
              <w:t>层空置</w:t>
            </w:r>
          </w:p>
        </w:tc>
        <w:tc>
          <w:tcPr>
            <w:tcW w:w="72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墙砖</w:t>
            </w:r>
          </w:p>
        </w:tc>
        <w:tc>
          <w:tcPr>
            <w:tcW w:w="540" w:type="dxa"/>
            <w:vMerge w:val="restart"/>
            <w:vAlign w:val="center"/>
          </w:tcPr>
          <w:p>
            <w:pPr>
              <w:spacing w:line="260" w:lineRule="exact"/>
              <w:jc w:val="center"/>
              <w:rPr>
                <w:color w:val="000000"/>
                <w:kern w:val="0"/>
                <w:sz w:val="18"/>
                <w:szCs w:val="18"/>
              </w:rPr>
            </w:pPr>
            <w:r>
              <w:rPr>
                <w:color w:val="000000"/>
                <w:kern w:val="0"/>
                <w:sz w:val="18"/>
                <w:szCs w:val="18"/>
              </w:rPr>
              <w:t>1</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大厅</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乳胶漆</w:t>
            </w:r>
          </w:p>
        </w:tc>
        <w:tc>
          <w:tcPr>
            <w:tcW w:w="72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地砖</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矿棉板吊顶</w:t>
            </w:r>
          </w:p>
        </w:tc>
        <w:tc>
          <w:tcPr>
            <w:tcW w:w="91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双开玻璃门、塑钢窗。</w:t>
            </w:r>
          </w:p>
        </w:tc>
        <w:tc>
          <w:tcPr>
            <w:tcW w:w="108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用作</w:t>
            </w:r>
            <w:r>
              <w:rPr>
                <w:color w:val="000000"/>
                <w:kern w:val="0"/>
                <w:sz w:val="18"/>
                <w:szCs w:val="18"/>
              </w:rPr>
              <w:t>“</w:t>
            </w:r>
            <w:r>
              <w:rPr>
                <w:rFonts w:hint="eastAsia" w:hAnsi="宋体"/>
                <w:color w:val="000000"/>
                <w:kern w:val="0"/>
                <w:sz w:val="18"/>
                <w:szCs w:val="18"/>
              </w:rPr>
              <w:t>新疆文化展览馆</w:t>
            </w:r>
            <w:r>
              <w:rPr>
                <w:color w:val="000000"/>
                <w:kern w:val="0"/>
                <w:sz w:val="18"/>
                <w:szCs w:val="18"/>
              </w:rPr>
              <w:t>”</w:t>
            </w:r>
            <w:r>
              <w:rPr>
                <w:rFonts w:hint="eastAsia" w:hAnsi="宋体"/>
                <w:color w:val="000000"/>
                <w:kern w:val="0"/>
                <w:sz w:val="18"/>
                <w:szCs w:val="18"/>
              </w:rPr>
              <w:t>，配中央空调；通水电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continue"/>
            <w:vAlign w:val="center"/>
          </w:tcPr>
          <w:p>
            <w:pPr>
              <w:spacing w:line="260" w:lineRule="exact"/>
              <w:jc w:val="center"/>
              <w:rPr>
                <w:color w:val="000000"/>
                <w:kern w:val="0"/>
                <w:sz w:val="18"/>
                <w:szCs w:val="18"/>
              </w:rPr>
            </w:pPr>
          </w:p>
        </w:tc>
        <w:tc>
          <w:tcPr>
            <w:tcW w:w="1080" w:type="dxa"/>
            <w:vMerge w:val="continue"/>
            <w:vAlign w:val="center"/>
          </w:tcPr>
          <w:p>
            <w:pPr>
              <w:spacing w:line="260" w:lineRule="exact"/>
              <w:jc w:val="center"/>
              <w:rPr>
                <w:color w:val="000000"/>
                <w:kern w:val="0"/>
                <w:sz w:val="18"/>
                <w:szCs w:val="18"/>
              </w:rPr>
            </w:pPr>
          </w:p>
        </w:tc>
        <w:tc>
          <w:tcPr>
            <w:tcW w:w="1260"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540" w:type="dxa"/>
            <w:vMerge w:val="continue"/>
            <w:vAlign w:val="center"/>
          </w:tcPr>
          <w:p>
            <w:pPr>
              <w:spacing w:line="260" w:lineRule="exact"/>
              <w:jc w:val="center"/>
              <w:rPr>
                <w:color w:val="000000"/>
                <w:kern w:val="0"/>
                <w:sz w:val="18"/>
                <w:szCs w:val="18"/>
              </w:rPr>
            </w:pP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卫生间</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瓷砖</w:t>
            </w:r>
          </w:p>
        </w:tc>
        <w:tc>
          <w:tcPr>
            <w:tcW w:w="72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地砖</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乳胶漆</w:t>
            </w:r>
          </w:p>
        </w:tc>
        <w:tc>
          <w:tcPr>
            <w:tcW w:w="91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铝合金玻璃门</w:t>
            </w:r>
          </w:p>
        </w:tc>
        <w:tc>
          <w:tcPr>
            <w:tcW w:w="1080" w:type="dxa"/>
            <w:vMerge w:val="continue"/>
            <w:vAlign w:val="center"/>
          </w:tcPr>
          <w:p>
            <w:pPr>
              <w:spacing w:line="260" w:lineRule="exact"/>
              <w:jc w:val="center"/>
              <w:rPr>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continue"/>
            <w:vAlign w:val="center"/>
          </w:tcPr>
          <w:p>
            <w:pPr>
              <w:spacing w:line="260" w:lineRule="exact"/>
              <w:jc w:val="center"/>
              <w:rPr>
                <w:color w:val="000000"/>
                <w:kern w:val="0"/>
                <w:sz w:val="18"/>
                <w:szCs w:val="18"/>
              </w:rPr>
            </w:pPr>
          </w:p>
        </w:tc>
        <w:tc>
          <w:tcPr>
            <w:tcW w:w="1080" w:type="dxa"/>
            <w:vMerge w:val="continue"/>
            <w:vAlign w:val="center"/>
          </w:tcPr>
          <w:p>
            <w:pPr>
              <w:spacing w:line="260" w:lineRule="exact"/>
              <w:jc w:val="center"/>
              <w:rPr>
                <w:color w:val="000000"/>
                <w:kern w:val="0"/>
                <w:sz w:val="18"/>
                <w:szCs w:val="18"/>
              </w:rPr>
            </w:pPr>
          </w:p>
        </w:tc>
        <w:tc>
          <w:tcPr>
            <w:tcW w:w="1260" w:type="dxa"/>
            <w:vMerge w:val="continue"/>
            <w:vAlign w:val="center"/>
          </w:tcPr>
          <w:p>
            <w:pPr>
              <w:spacing w:line="260" w:lineRule="exact"/>
              <w:jc w:val="center"/>
              <w:rPr>
                <w:color w:val="000000"/>
                <w:kern w:val="0"/>
                <w:sz w:val="18"/>
                <w:szCs w:val="18"/>
              </w:rPr>
            </w:pPr>
          </w:p>
        </w:tc>
        <w:tc>
          <w:tcPr>
            <w:tcW w:w="72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墙砖、玻幕</w:t>
            </w:r>
          </w:p>
        </w:tc>
        <w:tc>
          <w:tcPr>
            <w:tcW w:w="540" w:type="dxa"/>
            <w:vAlign w:val="center"/>
          </w:tcPr>
          <w:p>
            <w:pPr>
              <w:spacing w:line="260" w:lineRule="exact"/>
              <w:jc w:val="center"/>
              <w:rPr>
                <w:color w:val="000000"/>
                <w:kern w:val="0"/>
                <w:sz w:val="18"/>
                <w:szCs w:val="18"/>
              </w:rPr>
            </w:pPr>
            <w:r>
              <w:rPr>
                <w:color w:val="000000"/>
                <w:kern w:val="0"/>
                <w:sz w:val="18"/>
                <w:szCs w:val="18"/>
              </w:rPr>
              <w:t>1</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展厅</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乳胶漆</w:t>
            </w:r>
          </w:p>
        </w:tc>
        <w:tc>
          <w:tcPr>
            <w:tcW w:w="72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地砖</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乳胶漆</w:t>
            </w:r>
          </w:p>
        </w:tc>
        <w:tc>
          <w:tcPr>
            <w:tcW w:w="91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塑钢窗，落地玻璃门</w:t>
            </w:r>
          </w:p>
        </w:tc>
        <w:tc>
          <w:tcPr>
            <w:tcW w:w="1080" w:type="dxa"/>
            <w:vAlign w:val="center"/>
          </w:tcPr>
          <w:p>
            <w:pPr>
              <w:spacing w:line="260" w:lineRule="exact"/>
              <w:jc w:val="center"/>
              <w:rPr>
                <w:color w:val="000000"/>
                <w:kern w:val="0"/>
                <w:sz w:val="18"/>
                <w:szCs w:val="18"/>
              </w:rPr>
            </w:pPr>
            <w:r>
              <w:rPr>
                <w:color w:val="000000"/>
                <w:kern w:val="0"/>
                <w:sz w:val="18"/>
                <w:szCs w:val="18"/>
              </w:rPr>
              <w:t>“</w:t>
            </w:r>
            <w:r>
              <w:rPr>
                <w:rFonts w:hint="eastAsia" w:hAnsi="宋体"/>
                <w:color w:val="000000"/>
                <w:kern w:val="0"/>
                <w:sz w:val="18"/>
                <w:szCs w:val="18"/>
              </w:rPr>
              <w:t>竹子买车</w:t>
            </w:r>
            <w:r>
              <w:rPr>
                <w:color w:val="000000"/>
                <w:kern w:val="0"/>
                <w:sz w:val="18"/>
                <w:szCs w:val="18"/>
              </w:rPr>
              <w:t>”</w:t>
            </w:r>
            <w:r>
              <w:rPr>
                <w:rFonts w:hint="eastAsia" w:hAnsi="宋体"/>
                <w:color w:val="000000"/>
                <w:kern w:val="0"/>
                <w:sz w:val="18"/>
                <w:szCs w:val="18"/>
              </w:rPr>
              <w:t>展厅，通水电。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continue"/>
            <w:vAlign w:val="center"/>
          </w:tcPr>
          <w:p>
            <w:pPr>
              <w:spacing w:line="260" w:lineRule="exact"/>
              <w:jc w:val="center"/>
              <w:rPr>
                <w:color w:val="000000"/>
                <w:kern w:val="0"/>
                <w:sz w:val="18"/>
                <w:szCs w:val="18"/>
              </w:rPr>
            </w:pPr>
          </w:p>
        </w:tc>
        <w:tc>
          <w:tcPr>
            <w:tcW w:w="1080" w:type="dxa"/>
            <w:vMerge w:val="continue"/>
            <w:vAlign w:val="center"/>
          </w:tcPr>
          <w:p>
            <w:pPr>
              <w:spacing w:line="260" w:lineRule="exact"/>
              <w:jc w:val="center"/>
              <w:rPr>
                <w:color w:val="000000"/>
                <w:kern w:val="0"/>
                <w:sz w:val="18"/>
                <w:szCs w:val="18"/>
              </w:rPr>
            </w:pPr>
          </w:p>
        </w:tc>
        <w:tc>
          <w:tcPr>
            <w:tcW w:w="1260"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540" w:type="dxa"/>
            <w:vAlign w:val="center"/>
          </w:tcPr>
          <w:p>
            <w:pPr>
              <w:spacing w:line="260" w:lineRule="exact"/>
              <w:jc w:val="center"/>
              <w:rPr>
                <w:color w:val="000000"/>
                <w:kern w:val="0"/>
                <w:sz w:val="18"/>
                <w:szCs w:val="18"/>
              </w:rPr>
            </w:pPr>
            <w:r>
              <w:rPr>
                <w:color w:val="000000"/>
                <w:kern w:val="0"/>
                <w:sz w:val="18"/>
                <w:szCs w:val="18"/>
              </w:rPr>
              <w:t>2</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空置</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刷白</w:t>
            </w:r>
          </w:p>
        </w:tc>
        <w:tc>
          <w:tcPr>
            <w:tcW w:w="72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水泥</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刷白</w:t>
            </w:r>
          </w:p>
        </w:tc>
        <w:tc>
          <w:tcPr>
            <w:tcW w:w="91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铝合金窗</w:t>
            </w:r>
          </w:p>
        </w:tc>
        <w:tc>
          <w:tcPr>
            <w:tcW w:w="1080" w:type="dxa"/>
            <w:vAlign w:val="center"/>
          </w:tcPr>
          <w:p>
            <w:pPr>
              <w:spacing w:line="260" w:lineRule="exact"/>
              <w:jc w:val="center"/>
              <w:rPr>
                <w:color w:val="000000"/>
                <w:kern w:val="0"/>
                <w:sz w:val="18"/>
                <w:szCs w:val="18"/>
              </w:rPr>
            </w:pPr>
            <w:r>
              <w:rPr>
                <w:rFonts w:hint="eastAsia" w:hAnsi="宋体"/>
                <w:color w:val="000000"/>
                <w:kern w:val="0"/>
                <w:sz w:val="18"/>
                <w:szCs w:val="18"/>
              </w:rPr>
              <w:t>空置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restart"/>
            <w:vAlign w:val="center"/>
          </w:tcPr>
          <w:p>
            <w:pPr>
              <w:spacing w:line="260" w:lineRule="exact"/>
              <w:jc w:val="center"/>
              <w:rPr>
                <w:color w:val="000000"/>
                <w:kern w:val="0"/>
                <w:sz w:val="18"/>
                <w:szCs w:val="18"/>
              </w:rPr>
            </w:pPr>
            <w:r>
              <w:rPr>
                <w:color w:val="000000"/>
                <w:kern w:val="0"/>
                <w:sz w:val="18"/>
                <w:szCs w:val="18"/>
              </w:rPr>
              <w:t>2</w:t>
            </w:r>
            <w:r>
              <w:rPr>
                <w:rFonts w:hint="eastAsia" w:hAnsi="宋体"/>
                <w:color w:val="000000"/>
                <w:kern w:val="0"/>
                <w:sz w:val="18"/>
                <w:szCs w:val="18"/>
              </w:rPr>
              <w:t>栋</w:t>
            </w:r>
            <w:r>
              <w:rPr>
                <w:color w:val="000000"/>
                <w:kern w:val="0"/>
                <w:sz w:val="18"/>
                <w:szCs w:val="18"/>
              </w:rPr>
              <w:t>3</w:t>
            </w:r>
            <w:r>
              <w:rPr>
                <w:rFonts w:hint="eastAsia" w:hAnsi="宋体"/>
                <w:color w:val="000000"/>
                <w:kern w:val="0"/>
                <w:sz w:val="18"/>
                <w:szCs w:val="18"/>
              </w:rPr>
              <w:t>层</w:t>
            </w:r>
          </w:p>
        </w:tc>
        <w:tc>
          <w:tcPr>
            <w:tcW w:w="1080" w:type="dxa"/>
            <w:vMerge w:val="restart"/>
            <w:vAlign w:val="center"/>
          </w:tcPr>
          <w:p>
            <w:pPr>
              <w:spacing w:line="260" w:lineRule="exact"/>
              <w:jc w:val="center"/>
              <w:rPr>
                <w:color w:val="000000"/>
                <w:kern w:val="0"/>
                <w:sz w:val="18"/>
                <w:szCs w:val="18"/>
              </w:rPr>
            </w:pPr>
            <w:r>
              <w:rPr>
                <w:color w:val="000000"/>
                <w:kern w:val="0"/>
                <w:sz w:val="18"/>
                <w:szCs w:val="18"/>
              </w:rPr>
              <w:t>7863</w:t>
            </w:r>
          </w:p>
        </w:tc>
        <w:tc>
          <w:tcPr>
            <w:tcW w:w="1260" w:type="dxa"/>
            <w:vMerge w:val="restart"/>
            <w:vAlign w:val="center"/>
          </w:tcPr>
          <w:p>
            <w:pPr>
              <w:spacing w:line="260" w:lineRule="exact"/>
              <w:jc w:val="center"/>
              <w:rPr>
                <w:color w:val="000000"/>
                <w:kern w:val="0"/>
                <w:sz w:val="18"/>
                <w:szCs w:val="18"/>
              </w:rPr>
            </w:pPr>
            <w:r>
              <w:rPr>
                <w:color w:val="000000"/>
                <w:kern w:val="0"/>
                <w:sz w:val="18"/>
                <w:szCs w:val="18"/>
              </w:rPr>
              <w:t>3</w:t>
            </w:r>
            <w:r>
              <w:rPr>
                <w:rFonts w:hint="eastAsia" w:hAnsi="宋体"/>
                <w:color w:val="000000"/>
                <w:kern w:val="0"/>
                <w:sz w:val="18"/>
                <w:szCs w:val="18"/>
              </w:rPr>
              <w:t>层用于办公</w:t>
            </w:r>
          </w:p>
        </w:tc>
        <w:tc>
          <w:tcPr>
            <w:tcW w:w="72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墙砖、玻幕</w:t>
            </w:r>
          </w:p>
        </w:tc>
        <w:tc>
          <w:tcPr>
            <w:tcW w:w="540" w:type="dxa"/>
            <w:vMerge w:val="restart"/>
            <w:vAlign w:val="center"/>
          </w:tcPr>
          <w:p>
            <w:pPr>
              <w:spacing w:line="260" w:lineRule="exact"/>
              <w:jc w:val="center"/>
              <w:rPr>
                <w:color w:val="000000"/>
                <w:kern w:val="0"/>
                <w:sz w:val="18"/>
                <w:szCs w:val="18"/>
              </w:rPr>
            </w:pPr>
            <w:r>
              <w:rPr>
                <w:color w:val="000000"/>
                <w:kern w:val="0"/>
                <w:sz w:val="18"/>
                <w:szCs w:val="18"/>
              </w:rPr>
              <w:t>3</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办公室</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刷白</w:t>
            </w:r>
          </w:p>
        </w:tc>
        <w:tc>
          <w:tcPr>
            <w:tcW w:w="72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地毯</w:t>
            </w:r>
            <w:r>
              <w:rPr>
                <w:color w:val="000000"/>
                <w:kern w:val="0"/>
                <w:sz w:val="18"/>
                <w:szCs w:val="18"/>
              </w:rPr>
              <w:t>/</w:t>
            </w:r>
            <w:r>
              <w:rPr>
                <w:rFonts w:hint="eastAsia" w:hAnsi="宋体"/>
                <w:color w:val="000000"/>
                <w:kern w:val="0"/>
                <w:sz w:val="18"/>
                <w:szCs w:val="18"/>
              </w:rPr>
              <w:t>木地板</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刷白</w:t>
            </w:r>
          </w:p>
        </w:tc>
        <w:tc>
          <w:tcPr>
            <w:tcW w:w="911"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铝合金窗</w:t>
            </w:r>
          </w:p>
        </w:tc>
        <w:tc>
          <w:tcPr>
            <w:tcW w:w="1080" w:type="dxa"/>
            <w:vAlign w:val="center"/>
          </w:tcPr>
          <w:p>
            <w:pPr>
              <w:spacing w:line="260" w:lineRule="exact"/>
              <w:jc w:val="center"/>
              <w:rPr>
                <w:color w:val="000000"/>
                <w:kern w:val="0"/>
                <w:sz w:val="18"/>
                <w:szCs w:val="18"/>
              </w:rPr>
            </w:pPr>
            <w:r>
              <w:rPr>
                <w:rFonts w:hint="eastAsia" w:hAnsi="宋体"/>
                <w:color w:val="000000"/>
                <w:kern w:val="0"/>
                <w:sz w:val="18"/>
                <w:szCs w:val="18"/>
              </w:rPr>
              <w:t>电话营销及办公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continue"/>
            <w:vAlign w:val="center"/>
          </w:tcPr>
          <w:p>
            <w:pPr>
              <w:spacing w:line="260" w:lineRule="exact"/>
              <w:jc w:val="center"/>
              <w:rPr>
                <w:color w:val="000000"/>
                <w:kern w:val="0"/>
                <w:sz w:val="18"/>
                <w:szCs w:val="18"/>
              </w:rPr>
            </w:pPr>
          </w:p>
        </w:tc>
        <w:tc>
          <w:tcPr>
            <w:tcW w:w="1080" w:type="dxa"/>
            <w:vMerge w:val="continue"/>
            <w:vAlign w:val="center"/>
          </w:tcPr>
          <w:p>
            <w:pPr>
              <w:spacing w:line="260" w:lineRule="exact"/>
              <w:jc w:val="center"/>
              <w:rPr>
                <w:color w:val="000000"/>
                <w:kern w:val="0"/>
                <w:sz w:val="18"/>
                <w:szCs w:val="18"/>
              </w:rPr>
            </w:pPr>
          </w:p>
        </w:tc>
        <w:tc>
          <w:tcPr>
            <w:tcW w:w="1260"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540" w:type="dxa"/>
            <w:vMerge w:val="continue"/>
            <w:vAlign w:val="center"/>
          </w:tcPr>
          <w:p>
            <w:pPr>
              <w:spacing w:line="260" w:lineRule="exact"/>
              <w:jc w:val="center"/>
              <w:rPr>
                <w:color w:val="000000"/>
                <w:kern w:val="0"/>
                <w:sz w:val="18"/>
                <w:szCs w:val="18"/>
              </w:rPr>
            </w:pP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楼梯</w:t>
            </w:r>
          </w:p>
        </w:tc>
        <w:tc>
          <w:tcPr>
            <w:tcW w:w="4140" w:type="dxa"/>
            <w:gridSpan w:val="7"/>
            <w:vAlign w:val="center"/>
          </w:tcPr>
          <w:p>
            <w:pPr>
              <w:spacing w:line="260" w:lineRule="exact"/>
              <w:jc w:val="center"/>
              <w:rPr>
                <w:color w:val="000000"/>
                <w:kern w:val="0"/>
                <w:sz w:val="18"/>
                <w:szCs w:val="18"/>
              </w:rPr>
            </w:pPr>
            <w:r>
              <w:rPr>
                <w:rFonts w:hint="eastAsia" w:hAnsi="宋体"/>
                <w:color w:val="000000"/>
                <w:kern w:val="0"/>
                <w:sz w:val="18"/>
                <w:szCs w:val="18"/>
              </w:rPr>
              <w:t>花岗石踏步，不锈钢扶手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260" w:lineRule="exact"/>
              <w:jc w:val="center"/>
              <w:rPr>
                <w:color w:val="000000"/>
                <w:kern w:val="0"/>
                <w:sz w:val="18"/>
                <w:szCs w:val="18"/>
              </w:rPr>
            </w:pPr>
            <w:r>
              <w:rPr>
                <w:color w:val="000000"/>
                <w:kern w:val="0"/>
                <w:sz w:val="18"/>
                <w:szCs w:val="18"/>
              </w:rPr>
              <w:t>2</w:t>
            </w:r>
          </w:p>
        </w:tc>
        <w:tc>
          <w:tcPr>
            <w:tcW w:w="992" w:type="dxa"/>
            <w:vAlign w:val="center"/>
          </w:tcPr>
          <w:p>
            <w:pPr>
              <w:spacing w:line="260" w:lineRule="exact"/>
              <w:jc w:val="center"/>
              <w:rPr>
                <w:color w:val="000000"/>
                <w:kern w:val="0"/>
                <w:sz w:val="18"/>
                <w:szCs w:val="18"/>
              </w:rPr>
            </w:pPr>
            <w:r>
              <w:rPr>
                <w:color w:val="000000"/>
                <w:kern w:val="0"/>
                <w:sz w:val="18"/>
                <w:szCs w:val="18"/>
              </w:rPr>
              <w:t>/</w:t>
            </w:r>
          </w:p>
        </w:tc>
        <w:tc>
          <w:tcPr>
            <w:tcW w:w="500" w:type="dxa"/>
            <w:vAlign w:val="center"/>
          </w:tcPr>
          <w:p>
            <w:pPr>
              <w:spacing w:line="260" w:lineRule="exact"/>
              <w:jc w:val="center"/>
              <w:rPr>
                <w:color w:val="000000"/>
                <w:kern w:val="0"/>
                <w:sz w:val="18"/>
                <w:szCs w:val="18"/>
              </w:rPr>
            </w:pPr>
            <w:r>
              <w:rPr>
                <w:rFonts w:hint="eastAsia" w:hAnsi="宋体"/>
                <w:color w:val="000000"/>
                <w:kern w:val="0"/>
                <w:sz w:val="18"/>
                <w:szCs w:val="18"/>
              </w:rPr>
              <w:t>轻钢</w:t>
            </w:r>
          </w:p>
        </w:tc>
        <w:tc>
          <w:tcPr>
            <w:tcW w:w="492" w:type="dxa"/>
            <w:vAlign w:val="center"/>
          </w:tcPr>
          <w:p>
            <w:pPr>
              <w:spacing w:line="260" w:lineRule="exact"/>
              <w:jc w:val="center"/>
              <w:rPr>
                <w:color w:val="000000"/>
                <w:kern w:val="0"/>
                <w:sz w:val="18"/>
                <w:szCs w:val="18"/>
              </w:rPr>
            </w:pPr>
            <w:r>
              <w:rPr>
                <w:color w:val="000000"/>
                <w:kern w:val="0"/>
                <w:sz w:val="18"/>
                <w:szCs w:val="18"/>
              </w:rPr>
              <w:t>/</w:t>
            </w:r>
          </w:p>
        </w:tc>
        <w:tc>
          <w:tcPr>
            <w:tcW w:w="851" w:type="dxa"/>
            <w:vAlign w:val="center"/>
          </w:tcPr>
          <w:p>
            <w:pPr>
              <w:spacing w:line="260" w:lineRule="exact"/>
              <w:jc w:val="center"/>
              <w:rPr>
                <w:color w:val="000000"/>
                <w:kern w:val="0"/>
                <w:sz w:val="18"/>
                <w:szCs w:val="18"/>
              </w:rPr>
            </w:pPr>
            <w:r>
              <w:rPr>
                <w:color w:val="000000"/>
                <w:kern w:val="0"/>
                <w:sz w:val="18"/>
                <w:szCs w:val="18"/>
              </w:rPr>
              <w:t>2010</w:t>
            </w:r>
            <w:r>
              <w:rPr>
                <w:rFonts w:hint="eastAsia" w:hAnsi="宋体"/>
                <w:color w:val="000000"/>
                <w:kern w:val="0"/>
                <w:sz w:val="18"/>
                <w:szCs w:val="18"/>
              </w:rPr>
              <w:t>年</w:t>
            </w:r>
          </w:p>
        </w:tc>
        <w:tc>
          <w:tcPr>
            <w:tcW w:w="661" w:type="dxa"/>
            <w:vAlign w:val="center"/>
          </w:tcPr>
          <w:p>
            <w:pPr>
              <w:spacing w:line="260" w:lineRule="exact"/>
              <w:jc w:val="center"/>
              <w:rPr>
                <w:color w:val="000000"/>
                <w:kern w:val="0"/>
                <w:sz w:val="18"/>
                <w:szCs w:val="18"/>
              </w:rPr>
            </w:pPr>
            <w:r>
              <w:rPr>
                <w:color w:val="000000"/>
                <w:kern w:val="0"/>
                <w:sz w:val="18"/>
                <w:szCs w:val="18"/>
              </w:rPr>
              <w:t>2</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约</w:t>
            </w:r>
            <w:r>
              <w:rPr>
                <w:color w:val="000000"/>
                <w:kern w:val="0"/>
                <w:sz w:val="18"/>
                <w:szCs w:val="18"/>
              </w:rPr>
              <w:t>3.2</w:t>
            </w:r>
          </w:p>
        </w:tc>
        <w:tc>
          <w:tcPr>
            <w:tcW w:w="900" w:type="dxa"/>
            <w:vAlign w:val="center"/>
          </w:tcPr>
          <w:p>
            <w:pPr>
              <w:spacing w:line="260" w:lineRule="exact"/>
              <w:jc w:val="center"/>
              <w:rPr>
                <w:color w:val="000000"/>
                <w:kern w:val="0"/>
                <w:sz w:val="18"/>
                <w:szCs w:val="18"/>
              </w:rPr>
            </w:pPr>
            <w:r>
              <w:rPr>
                <w:color w:val="000000"/>
                <w:kern w:val="0"/>
                <w:sz w:val="18"/>
                <w:szCs w:val="18"/>
              </w:rPr>
              <w:t>1</w:t>
            </w:r>
          </w:p>
        </w:tc>
        <w:tc>
          <w:tcPr>
            <w:tcW w:w="1080" w:type="dxa"/>
            <w:vAlign w:val="center"/>
          </w:tcPr>
          <w:p>
            <w:pPr>
              <w:spacing w:line="260" w:lineRule="exact"/>
              <w:jc w:val="center"/>
              <w:rPr>
                <w:color w:val="000000"/>
                <w:kern w:val="0"/>
                <w:sz w:val="18"/>
                <w:szCs w:val="18"/>
              </w:rPr>
            </w:pPr>
            <w:r>
              <w:rPr>
                <w:color w:val="000000"/>
                <w:kern w:val="0"/>
                <w:sz w:val="18"/>
                <w:szCs w:val="18"/>
              </w:rPr>
              <w:t>16.04</w:t>
            </w:r>
          </w:p>
        </w:tc>
        <w:tc>
          <w:tcPr>
            <w:tcW w:w="1260" w:type="dxa"/>
            <w:vAlign w:val="center"/>
          </w:tcPr>
          <w:p>
            <w:pPr>
              <w:spacing w:line="260" w:lineRule="exact"/>
              <w:jc w:val="center"/>
              <w:rPr>
                <w:rFonts w:hAnsi="宋体"/>
                <w:color w:val="000000"/>
                <w:kern w:val="0"/>
                <w:sz w:val="18"/>
                <w:szCs w:val="18"/>
              </w:rPr>
            </w:pPr>
            <w:r>
              <w:rPr>
                <w:rFonts w:hint="eastAsia" w:hAnsi="宋体"/>
                <w:color w:val="000000"/>
                <w:kern w:val="0"/>
                <w:sz w:val="18"/>
                <w:szCs w:val="18"/>
              </w:rPr>
              <w:t>南大门</w:t>
            </w:r>
          </w:p>
          <w:p>
            <w:pPr>
              <w:spacing w:line="260" w:lineRule="exact"/>
              <w:jc w:val="center"/>
              <w:rPr>
                <w:color w:val="000000"/>
                <w:kern w:val="0"/>
                <w:sz w:val="18"/>
                <w:szCs w:val="18"/>
              </w:rPr>
            </w:pPr>
            <w:r>
              <w:rPr>
                <w:rFonts w:hint="eastAsia" w:hAnsi="宋体"/>
                <w:color w:val="000000"/>
                <w:kern w:val="0"/>
                <w:sz w:val="18"/>
                <w:szCs w:val="18"/>
              </w:rPr>
              <w:t>门卫房</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彩钢</w:t>
            </w:r>
          </w:p>
        </w:tc>
        <w:tc>
          <w:tcPr>
            <w:tcW w:w="540" w:type="dxa"/>
            <w:vAlign w:val="center"/>
          </w:tcPr>
          <w:p>
            <w:pPr>
              <w:spacing w:line="260" w:lineRule="exact"/>
              <w:jc w:val="center"/>
              <w:rPr>
                <w:color w:val="000000"/>
                <w:kern w:val="0"/>
                <w:sz w:val="18"/>
                <w:szCs w:val="18"/>
              </w:rPr>
            </w:pPr>
            <w:r>
              <w:rPr>
                <w:color w:val="000000"/>
                <w:kern w:val="0"/>
                <w:sz w:val="18"/>
                <w:szCs w:val="18"/>
              </w:rPr>
              <w:t>1</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门卫</w:t>
            </w:r>
          </w:p>
        </w:tc>
        <w:tc>
          <w:tcPr>
            <w:tcW w:w="873"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刷白</w:t>
            </w:r>
          </w:p>
        </w:tc>
        <w:tc>
          <w:tcPr>
            <w:tcW w:w="568" w:type="dxa"/>
            <w:vAlign w:val="center"/>
          </w:tcPr>
          <w:p>
            <w:pPr>
              <w:spacing w:line="260" w:lineRule="exact"/>
              <w:jc w:val="center"/>
              <w:rPr>
                <w:color w:val="000000"/>
                <w:kern w:val="0"/>
                <w:sz w:val="18"/>
                <w:szCs w:val="18"/>
              </w:rPr>
            </w:pPr>
            <w:r>
              <w:rPr>
                <w:rFonts w:hint="eastAsia" w:hAnsi="宋体"/>
                <w:color w:val="000000"/>
                <w:kern w:val="0"/>
                <w:sz w:val="18"/>
                <w:szCs w:val="18"/>
              </w:rPr>
              <w:t>水泥</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刷白</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塑钢窗</w:t>
            </w:r>
          </w:p>
        </w:tc>
        <w:tc>
          <w:tcPr>
            <w:tcW w:w="114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门卫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restart"/>
            <w:vAlign w:val="center"/>
          </w:tcPr>
          <w:p>
            <w:pPr>
              <w:spacing w:line="260" w:lineRule="exact"/>
              <w:jc w:val="center"/>
              <w:rPr>
                <w:color w:val="000000"/>
                <w:kern w:val="0"/>
                <w:sz w:val="18"/>
                <w:szCs w:val="18"/>
              </w:rPr>
            </w:pPr>
            <w:r>
              <w:rPr>
                <w:color w:val="000000"/>
                <w:kern w:val="0"/>
                <w:sz w:val="18"/>
                <w:szCs w:val="18"/>
              </w:rPr>
              <w:t>3</w:t>
            </w:r>
          </w:p>
        </w:tc>
        <w:tc>
          <w:tcPr>
            <w:tcW w:w="992"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蓉房权证成房监证字第</w:t>
            </w:r>
            <w:r>
              <w:rPr>
                <w:color w:val="000000"/>
                <w:kern w:val="0"/>
                <w:sz w:val="18"/>
                <w:szCs w:val="18"/>
              </w:rPr>
              <w:t>0998455</w:t>
            </w:r>
            <w:r>
              <w:rPr>
                <w:rFonts w:hint="eastAsia" w:hAnsi="宋体"/>
                <w:color w:val="000000"/>
                <w:kern w:val="0"/>
                <w:sz w:val="18"/>
                <w:szCs w:val="18"/>
              </w:rPr>
              <w:t>号</w:t>
            </w:r>
          </w:p>
        </w:tc>
        <w:tc>
          <w:tcPr>
            <w:tcW w:w="500" w:type="dxa"/>
            <w:vAlign w:val="center"/>
          </w:tcPr>
          <w:p>
            <w:pPr>
              <w:spacing w:line="260" w:lineRule="exact"/>
              <w:jc w:val="center"/>
              <w:rPr>
                <w:color w:val="000000"/>
                <w:kern w:val="0"/>
                <w:sz w:val="18"/>
                <w:szCs w:val="18"/>
              </w:rPr>
            </w:pPr>
            <w:r>
              <w:rPr>
                <w:rFonts w:hint="eastAsia" w:hAnsi="宋体"/>
                <w:color w:val="000000"/>
                <w:kern w:val="0"/>
                <w:sz w:val="18"/>
                <w:szCs w:val="18"/>
              </w:rPr>
              <w:t>钢混</w:t>
            </w:r>
          </w:p>
        </w:tc>
        <w:tc>
          <w:tcPr>
            <w:tcW w:w="492" w:type="dxa"/>
            <w:vAlign w:val="center"/>
          </w:tcPr>
          <w:p>
            <w:pPr>
              <w:spacing w:line="260" w:lineRule="exact"/>
              <w:jc w:val="center"/>
              <w:rPr>
                <w:color w:val="000000"/>
                <w:kern w:val="0"/>
                <w:sz w:val="18"/>
                <w:szCs w:val="18"/>
              </w:rPr>
            </w:pPr>
            <w:r>
              <w:rPr>
                <w:rFonts w:hint="eastAsia" w:hAnsi="宋体"/>
                <w:color w:val="000000"/>
                <w:kern w:val="0"/>
                <w:sz w:val="18"/>
                <w:szCs w:val="18"/>
              </w:rPr>
              <w:t>办公楼</w:t>
            </w:r>
          </w:p>
        </w:tc>
        <w:tc>
          <w:tcPr>
            <w:tcW w:w="851" w:type="dxa"/>
            <w:vAlign w:val="center"/>
          </w:tcPr>
          <w:p>
            <w:pPr>
              <w:spacing w:line="260" w:lineRule="exact"/>
              <w:jc w:val="center"/>
              <w:rPr>
                <w:color w:val="000000"/>
                <w:kern w:val="0"/>
                <w:sz w:val="18"/>
                <w:szCs w:val="18"/>
              </w:rPr>
            </w:pPr>
            <w:r>
              <w:rPr>
                <w:color w:val="000000"/>
                <w:kern w:val="0"/>
                <w:sz w:val="18"/>
                <w:szCs w:val="18"/>
              </w:rPr>
              <w:t>1998</w:t>
            </w:r>
            <w:r>
              <w:rPr>
                <w:rFonts w:hint="eastAsia" w:hAnsi="宋体"/>
                <w:color w:val="000000"/>
                <w:kern w:val="0"/>
                <w:sz w:val="18"/>
                <w:szCs w:val="18"/>
              </w:rPr>
              <w:t>年</w:t>
            </w:r>
          </w:p>
        </w:tc>
        <w:tc>
          <w:tcPr>
            <w:tcW w:w="661" w:type="dxa"/>
            <w:vAlign w:val="center"/>
          </w:tcPr>
          <w:p>
            <w:pPr>
              <w:spacing w:line="260" w:lineRule="exact"/>
              <w:jc w:val="center"/>
              <w:rPr>
                <w:color w:val="000000"/>
                <w:kern w:val="0"/>
                <w:sz w:val="18"/>
                <w:szCs w:val="18"/>
              </w:rPr>
            </w:pPr>
            <w:r>
              <w:rPr>
                <w:color w:val="000000"/>
                <w:kern w:val="0"/>
                <w:sz w:val="18"/>
                <w:szCs w:val="18"/>
              </w:rPr>
              <w:t>3</w:t>
            </w:r>
          </w:p>
        </w:tc>
        <w:tc>
          <w:tcPr>
            <w:tcW w:w="72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均约</w:t>
            </w:r>
            <w:r>
              <w:rPr>
                <w:color w:val="000000"/>
                <w:kern w:val="0"/>
                <w:sz w:val="18"/>
                <w:szCs w:val="18"/>
              </w:rPr>
              <w:t>3.0</w:t>
            </w:r>
          </w:p>
        </w:tc>
        <w:tc>
          <w:tcPr>
            <w:tcW w:w="900" w:type="dxa"/>
            <w:vAlign w:val="center"/>
          </w:tcPr>
          <w:p>
            <w:pPr>
              <w:spacing w:line="260" w:lineRule="exact"/>
              <w:jc w:val="center"/>
              <w:rPr>
                <w:color w:val="000000"/>
                <w:kern w:val="0"/>
                <w:sz w:val="18"/>
                <w:szCs w:val="18"/>
              </w:rPr>
            </w:pPr>
            <w:r>
              <w:rPr>
                <w:color w:val="000000"/>
                <w:kern w:val="0"/>
                <w:sz w:val="18"/>
                <w:szCs w:val="18"/>
              </w:rPr>
              <w:t>6</w:t>
            </w:r>
          </w:p>
        </w:tc>
        <w:tc>
          <w:tcPr>
            <w:tcW w:w="1080" w:type="dxa"/>
            <w:vAlign w:val="center"/>
          </w:tcPr>
          <w:p>
            <w:pPr>
              <w:spacing w:line="260" w:lineRule="exact"/>
              <w:jc w:val="center"/>
              <w:rPr>
                <w:color w:val="000000"/>
                <w:kern w:val="0"/>
                <w:sz w:val="18"/>
                <w:szCs w:val="18"/>
              </w:rPr>
            </w:pPr>
            <w:r>
              <w:rPr>
                <w:color w:val="000000"/>
                <w:kern w:val="0"/>
                <w:sz w:val="18"/>
                <w:szCs w:val="18"/>
              </w:rPr>
              <w:t>3451.00</w:t>
            </w:r>
          </w:p>
        </w:tc>
        <w:tc>
          <w:tcPr>
            <w:tcW w:w="1260" w:type="dxa"/>
            <w:vAlign w:val="center"/>
          </w:tcPr>
          <w:p>
            <w:pPr>
              <w:spacing w:line="260" w:lineRule="exact"/>
              <w:jc w:val="center"/>
              <w:rPr>
                <w:color w:val="000000"/>
                <w:kern w:val="0"/>
                <w:sz w:val="18"/>
                <w:szCs w:val="18"/>
              </w:rPr>
            </w:pPr>
            <w:r>
              <w:rPr>
                <w:rFonts w:hint="eastAsia" w:hAnsi="宋体"/>
                <w:color w:val="000000"/>
                <w:kern w:val="0"/>
                <w:sz w:val="18"/>
                <w:szCs w:val="18"/>
              </w:rPr>
              <w:t>办公楼</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铝面板</w:t>
            </w:r>
            <w:r>
              <w:rPr>
                <w:color w:val="000000"/>
                <w:kern w:val="0"/>
                <w:sz w:val="18"/>
                <w:szCs w:val="18"/>
              </w:rPr>
              <w:t>/</w:t>
            </w:r>
            <w:r>
              <w:rPr>
                <w:rFonts w:hint="eastAsia" w:hAnsi="宋体"/>
                <w:color w:val="000000"/>
                <w:kern w:val="0"/>
                <w:sz w:val="18"/>
                <w:szCs w:val="18"/>
              </w:rPr>
              <w:t>玻幕</w:t>
            </w:r>
          </w:p>
        </w:tc>
        <w:tc>
          <w:tcPr>
            <w:tcW w:w="540" w:type="dxa"/>
            <w:vAlign w:val="center"/>
          </w:tcPr>
          <w:p>
            <w:pPr>
              <w:spacing w:line="260" w:lineRule="exact"/>
              <w:jc w:val="center"/>
              <w:rPr>
                <w:color w:val="000000"/>
                <w:kern w:val="0"/>
                <w:sz w:val="18"/>
                <w:szCs w:val="18"/>
              </w:rPr>
            </w:pPr>
            <w:r>
              <w:rPr>
                <w:color w:val="000000"/>
                <w:kern w:val="0"/>
                <w:sz w:val="18"/>
                <w:szCs w:val="18"/>
              </w:rPr>
              <w:t>1-6</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大厅</w:t>
            </w:r>
            <w:r>
              <w:rPr>
                <w:color w:val="000000"/>
                <w:kern w:val="0"/>
                <w:sz w:val="18"/>
                <w:szCs w:val="18"/>
              </w:rPr>
              <w:t>/</w:t>
            </w:r>
            <w:r>
              <w:rPr>
                <w:rFonts w:hint="eastAsia" w:hAnsi="宋体"/>
                <w:color w:val="000000"/>
                <w:kern w:val="0"/>
                <w:sz w:val="18"/>
                <w:szCs w:val="18"/>
              </w:rPr>
              <w:t>办公</w:t>
            </w:r>
          </w:p>
        </w:tc>
        <w:tc>
          <w:tcPr>
            <w:tcW w:w="873"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乳胶漆</w:t>
            </w:r>
            <w:r>
              <w:rPr>
                <w:color w:val="000000"/>
                <w:kern w:val="0"/>
                <w:sz w:val="18"/>
                <w:szCs w:val="18"/>
              </w:rPr>
              <w:t>/</w:t>
            </w:r>
            <w:r>
              <w:rPr>
                <w:rFonts w:hint="eastAsia" w:hAnsi="宋体"/>
                <w:color w:val="000000"/>
                <w:kern w:val="0"/>
                <w:sz w:val="18"/>
                <w:szCs w:val="18"/>
              </w:rPr>
              <w:t>装饰板</w:t>
            </w:r>
          </w:p>
        </w:tc>
        <w:tc>
          <w:tcPr>
            <w:tcW w:w="568" w:type="dxa"/>
            <w:vAlign w:val="center"/>
          </w:tcPr>
          <w:p>
            <w:pPr>
              <w:spacing w:line="260" w:lineRule="exact"/>
              <w:jc w:val="center"/>
              <w:rPr>
                <w:color w:val="000000"/>
                <w:kern w:val="0"/>
                <w:sz w:val="18"/>
                <w:szCs w:val="18"/>
              </w:rPr>
            </w:pPr>
            <w:r>
              <w:rPr>
                <w:rFonts w:hint="eastAsia" w:hAnsi="宋体"/>
                <w:color w:val="000000"/>
                <w:kern w:val="0"/>
                <w:sz w:val="18"/>
                <w:szCs w:val="18"/>
              </w:rPr>
              <w:t>地砖</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矿棉板</w:t>
            </w:r>
            <w:r>
              <w:rPr>
                <w:color w:val="000000"/>
                <w:kern w:val="0"/>
                <w:sz w:val="18"/>
                <w:szCs w:val="18"/>
              </w:rPr>
              <w:t>/</w:t>
            </w:r>
            <w:r>
              <w:rPr>
                <w:rFonts w:hint="eastAsia" w:hAnsi="宋体"/>
                <w:color w:val="000000"/>
                <w:kern w:val="0"/>
                <w:sz w:val="18"/>
                <w:szCs w:val="18"/>
              </w:rPr>
              <w:t>石膏板</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塑钢窗</w:t>
            </w:r>
          </w:p>
        </w:tc>
        <w:tc>
          <w:tcPr>
            <w:tcW w:w="114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正常办公，配直升电梯</w:t>
            </w:r>
            <w:r>
              <w:rPr>
                <w:color w:val="000000"/>
                <w:kern w:val="0"/>
                <w:sz w:val="18"/>
                <w:szCs w:val="18"/>
              </w:rPr>
              <w:t>1</w:t>
            </w:r>
            <w:r>
              <w:rPr>
                <w:rFonts w:hint="eastAsia" w:hAnsi="宋体"/>
                <w:color w:val="000000"/>
                <w:kern w:val="0"/>
                <w:sz w:val="18"/>
                <w:szCs w:val="18"/>
              </w:rPr>
              <w:t>部通达各层，楼层公用卫生间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钢混</w:t>
            </w:r>
          </w:p>
        </w:tc>
        <w:tc>
          <w:tcPr>
            <w:tcW w:w="492"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综合楼</w:t>
            </w:r>
          </w:p>
        </w:tc>
        <w:tc>
          <w:tcPr>
            <w:tcW w:w="851" w:type="dxa"/>
            <w:vMerge w:val="restart"/>
            <w:vAlign w:val="center"/>
          </w:tcPr>
          <w:p>
            <w:pPr>
              <w:spacing w:line="260" w:lineRule="exact"/>
              <w:jc w:val="center"/>
              <w:rPr>
                <w:color w:val="000000"/>
                <w:kern w:val="0"/>
                <w:sz w:val="18"/>
                <w:szCs w:val="18"/>
              </w:rPr>
            </w:pPr>
            <w:r>
              <w:rPr>
                <w:color w:val="000000"/>
                <w:kern w:val="0"/>
                <w:sz w:val="18"/>
                <w:szCs w:val="18"/>
              </w:rPr>
              <w:t>1998</w:t>
            </w:r>
            <w:r>
              <w:rPr>
                <w:rFonts w:hint="eastAsia" w:hAnsi="宋体"/>
                <w:color w:val="000000"/>
                <w:kern w:val="0"/>
                <w:sz w:val="18"/>
                <w:szCs w:val="18"/>
              </w:rPr>
              <w:t>年</w:t>
            </w:r>
          </w:p>
        </w:tc>
        <w:tc>
          <w:tcPr>
            <w:tcW w:w="661" w:type="dxa"/>
            <w:vMerge w:val="restart"/>
            <w:vAlign w:val="center"/>
          </w:tcPr>
          <w:p>
            <w:pPr>
              <w:spacing w:line="260" w:lineRule="exact"/>
              <w:jc w:val="center"/>
              <w:rPr>
                <w:color w:val="000000"/>
                <w:kern w:val="0"/>
                <w:sz w:val="18"/>
                <w:szCs w:val="18"/>
              </w:rPr>
            </w:pPr>
            <w:r>
              <w:rPr>
                <w:color w:val="000000"/>
                <w:kern w:val="0"/>
                <w:sz w:val="18"/>
                <w:szCs w:val="18"/>
              </w:rPr>
              <w:t>4</w:t>
            </w:r>
          </w:p>
        </w:tc>
        <w:tc>
          <w:tcPr>
            <w:tcW w:w="720" w:type="dxa"/>
            <w:vMerge w:val="continue"/>
            <w:vAlign w:val="center"/>
          </w:tcPr>
          <w:p>
            <w:pPr>
              <w:spacing w:line="260" w:lineRule="exact"/>
              <w:jc w:val="center"/>
              <w:rPr>
                <w:color w:val="000000"/>
                <w:kern w:val="0"/>
                <w:sz w:val="18"/>
                <w:szCs w:val="18"/>
              </w:rPr>
            </w:pPr>
          </w:p>
        </w:tc>
        <w:tc>
          <w:tcPr>
            <w:tcW w:w="900" w:type="dxa"/>
            <w:vMerge w:val="restart"/>
            <w:vAlign w:val="center"/>
          </w:tcPr>
          <w:p>
            <w:pPr>
              <w:spacing w:line="260" w:lineRule="exact"/>
              <w:jc w:val="center"/>
              <w:rPr>
                <w:color w:val="000000"/>
                <w:kern w:val="0"/>
                <w:sz w:val="18"/>
                <w:szCs w:val="18"/>
              </w:rPr>
            </w:pPr>
            <w:r>
              <w:rPr>
                <w:color w:val="000000"/>
                <w:kern w:val="0"/>
                <w:sz w:val="18"/>
                <w:szCs w:val="18"/>
              </w:rPr>
              <w:t>2</w:t>
            </w:r>
          </w:p>
        </w:tc>
        <w:tc>
          <w:tcPr>
            <w:tcW w:w="1080" w:type="dxa"/>
            <w:vMerge w:val="restart"/>
            <w:vAlign w:val="center"/>
          </w:tcPr>
          <w:p>
            <w:pPr>
              <w:spacing w:line="260" w:lineRule="exact"/>
              <w:jc w:val="center"/>
              <w:rPr>
                <w:color w:val="000000"/>
                <w:kern w:val="0"/>
                <w:sz w:val="18"/>
                <w:szCs w:val="18"/>
              </w:rPr>
            </w:pPr>
            <w:r>
              <w:rPr>
                <w:color w:val="000000"/>
                <w:kern w:val="0"/>
                <w:sz w:val="18"/>
                <w:szCs w:val="18"/>
              </w:rPr>
              <w:t>585.00</w:t>
            </w:r>
          </w:p>
        </w:tc>
        <w:tc>
          <w:tcPr>
            <w:tcW w:w="126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综合楼</w:t>
            </w:r>
          </w:p>
        </w:tc>
        <w:tc>
          <w:tcPr>
            <w:tcW w:w="72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面砖</w:t>
            </w:r>
          </w:p>
        </w:tc>
        <w:tc>
          <w:tcPr>
            <w:tcW w:w="540" w:type="dxa"/>
            <w:vAlign w:val="center"/>
          </w:tcPr>
          <w:p>
            <w:pPr>
              <w:spacing w:line="260" w:lineRule="exact"/>
              <w:jc w:val="center"/>
              <w:rPr>
                <w:color w:val="000000"/>
                <w:kern w:val="0"/>
                <w:sz w:val="18"/>
                <w:szCs w:val="18"/>
              </w:rPr>
            </w:pPr>
            <w:r>
              <w:rPr>
                <w:color w:val="000000"/>
                <w:kern w:val="0"/>
                <w:sz w:val="18"/>
                <w:szCs w:val="18"/>
              </w:rPr>
              <w:t>1</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非机动车库</w:t>
            </w:r>
          </w:p>
        </w:tc>
        <w:tc>
          <w:tcPr>
            <w:tcW w:w="873"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刷白</w:t>
            </w:r>
          </w:p>
        </w:tc>
        <w:tc>
          <w:tcPr>
            <w:tcW w:w="568" w:type="dxa"/>
            <w:vAlign w:val="center"/>
          </w:tcPr>
          <w:p>
            <w:pPr>
              <w:spacing w:line="260" w:lineRule="exact"/>
              <w:jc w:val="center"/>
              <w:rPr>
                <w:color w:val="000000"/>
                <w:kern w:val="0"/>
                <w:sz w:val="18"/>
                <w:szCs w:val="18"/>
              </w:rPr>
            </w:pPr>
            <w:r>
              <w:rPr>
                <w:rFonts w:hint="eastAsia" w:hAnsi="宋体"/>
                <w:color w:val="000000"/>
                <w:kern w:val="0"/>
                <w:sz w:val="18"/>
                <w:szCs w:val="18"/>
              </w:rPr>
              <w:t>水泥</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抹灰</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塑钢窗</w:t>
            </w:r>
          </w:p>
        </w:tc>
        <w:tc>
          <w:tcPr>
            <w:tcW w:w="114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停车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continue"/>
            <w:vAlign w:val="center"/>
          </w:tcPr>
          <w:p>
            <w:pPr>
              <w:spacing w:line="260" w:lineRule="exact"/>
              <w:jc w:val="center"/>
              <w:rPr>
                <w:color w:val="000000"/>
                <w:kern w:val="0"/>
                <w:sz w:val="18"/>
                <w:szCs w:val="18"/>
              </w:rPr>
            </w:pPr>
          </w:p>
        </w:tc>
        <w:tc>
          <w:tcPr>
            <w:tcW w:w="1080" w:type="dxa"/>
            <w:vMerge w:val="continue"/>
            <w:vAlign w:val="center"/>
          </w:tcPr>
          <w:p>
            <w:pPr>
              <w:spacing w:line="260" w:lineRule="exact"/>
              <w:jc w:val="center"/>
              <w:rPr>
                <w:color w:val="000000"/>
                <w:kern w:val="0"/>
                <w:sz w:val="18"/>
                <w:szCs w:val="18"/>
              </w:rPr>
            </w:pPr>
          </w:p>
        </w:tc>
        <w:tc>
          <w:tcPr>
            <w:tcW w:w="1260"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540" w:type="dxa"/>
            <w:vMerge w:val="restart"/>
            <w:vAlign w:val="center"/>
          </w:tcPr>
          <w:p>
            <w:pPr>
              <w:spacing w:line="260" w:lineRule="exact"/>
              <w:jc w:val="center"/>
              <w:rPr>
                <w:color w:val="000000"/>
                <w:kern w:val="0"/>
                <w:sz w:val="18"/>
                <w:szCs w:val="18"/>
              </w:rPr>
            </w:pPr>
            <w:r>
              <w:rPr>
                <w:color w:val="000000"/>
                <w:kern w:val="0"/>
                <w:sz w:val="18"/>
                <w:szCs w:val="18"/>
              </w:rPr>
              <w:t>2</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阶梯放映</w:t>
            </w:r>
            <w:r>
              <w:rPr>
                <w:color w:val="000000"/>
                <w:kern w:val="0"/>
                <w:sz w:val="18"/>
                <w:szCs w:val="18"/>
              </w:rPr>
              <w:t>/</w:t>
            </w:r>
            <w:r>
              <w:rPr>
                <w:rFonts w:hint="eastAsia" w:hAnsi="宋体"/>
                <w:color w:val="000000"/>
                <w:kern w:val="0"/>
                <w:sz w:val="18"/>
                <w:szCs w:val="18"/>
              </w:rPr>
              <w:t>会议室</w:t>
            </w:r>
          </w:p>
        </w:tc>
        <w:tc>
          <w:tcPr>
            <w:tcW w:w="873"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装饰板</w:t>
            </w:r>
          </w:p>
        </w:tc>
        <w:tc>
          <w:tcPr>
            <w:tcW w:w="568" w:type="dxa"/>
            <w:vAlign w:val="center"/>
          </w:tcPr>
          <w:p>
            <w:pPr>
              <w:spacing w:line="260" w:lineRule="exact"/>
              <w:jc w:val="center"/>
              <w:rPr>
                <w:color w:val="000000"/>
                <w:kern w:val="0"/>
                <w:sz w:val="18"/>
                <w:szCs w:val="18"/>
              </w:rPr>
            </w:pPr>
            <w:r>
              <w:rPr>
                <w:rFonts w:hint="eastAsia" w:hAnsi="宋体"/>
                <w:color w:val="000000"/>
                <w:kern w:val="0"/>
                <w:sz w:val="18"/>
                <w:szCs w:val="18"/>
              </w:rPr>
              <w:t>地毯</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乳胶漆</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塑钢窗</w:t>
            </w:r>
          </w:p>
        </w:tc>
        <w:tc>
          <w:tcPr>
            <w:tcW w:w="114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空置，室内楼梯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continue"/>
            <w:vAlign w:val="center"/>
          </w:tcPr>
          <w:p>
            <w:pPr>
              <w:spacing w:line="260" w:lineRule="exact"/>
              <w:jc w:val="center"/>
              <w:rPr>
                <w:color w:val="000000"/>
                <w:kern w:val="0"/>
                <w:sz w:val="18"/>
                <w:szCs w:val="18"/>
              </w:rPr>
            </w:pPr>
          </w:p>
        </w:tc>
        <w:tc>
          <w:tcPr>
            <w:tcW w:w="1080" w:type="dxa"/>
            <w:vMerge w:val="continue"/>
            <w:vAlign w:val="center"/>
          </w:tcPr>
          <w:p>
            <w:pPr>
              <w:spacing w:line="260" w:lineRule="exact"/>
              <w:jc w:val="center"/>
              <w:rPr>
                <w:color w:val="000000"/>
                <w:kern w:val="0"/>
                <w:sz w:val="18"/>
                <w:szCs w:val="18"/>
              </w:rPr>
            </w:pPr>
          </w:p>
        </w:tc>
        <w:tc>
          <w:tcPr>
            <w:tcW w:w="1260"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540" w:type="dxa"/>
            <w:vMerge w:val="continue"/>
            <w:vAlign w:val="center"/>
          </w:tcPr>
          <w:p>
            <w:pPr>
              <w:spacing w:line="260" w:lineRule="exact"/>
              <w:jc w:val="center"/>
              <w:rPr>
                <w:color w:val="000000"/>
                <w:kern w:val="0"/>
                <w:sz w:val="18"/>
                <w:szCs w:val="18"/>
              </w:rPr>
            </w:pP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楼梯</w:t>
            </w:r>
          </w:p>
        </w:tc>
        <w:tc>
          <w:tcPr>
            <w:tcW w:w="4140" w:type="dxa"/>
            <w:gridSpan w:val="7"/>
            <w:vAlign w:val="center"/>
          </w:tcPr>
          <w:p>
            <w:pPr>
              <w:spacing w:line="260" w:lineRule="exact"/>
              <w:jc w:val="center"/>
              <w:rPr>
                <w:color w:val="000000"/>
                <w:kern w:val="0"/>
                <w:sz w:val="18"/>
                <w:szCs w:val="18"/>
              </w:rPr>
            </w:pPr>
            <w:r>
              <w:rPr>
                <w:rFonts w:hint="eastAsia" w:hAnsi="宋体"/>
                <w:color w:val="000000"/>
                <w:kern w:val="0"/>
                <w:sz w:val="18"/>
                <w:szCs w:val="18"/>
              </w:rPr>
              <w:t>花岗石踏步，不锈钢扶手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restart"/>
            <w:vAlign w:val="center"/>
          </w:tcPr>
          <w:p>
            <w:pPr>
              <w:spacing w:line="260" w:lineRule="exact"/>
              <w:jc w:val="center"/>
              <w:rPr>
                <w:color w:val="000000"/>
                <w:kern w:val="0"/>
                <w:sz w:val="18"/>
                <w:szCs w:val="18"/>
              </w:rPr>
            </w:pPr>
            <w:r>
              <w:rPr>
                <w:color w:val="000000"/>
                <w:kern w:val="0"/>
                <w:sz w:val="18"/>
                <w:szCs w:val="18"/>
              </w:rPr>
              <w:t>4</w:t>
            </w:r>
          </w:p>
        </w:tc>
        <w:tc>
          <w:tcPr>
            <w:tcW w:w="992"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成房权证监证第</w:t>
            </w:r>
            <w:r>
              <w:rPr>
                <w:color w:val="000000"/>
                <w:kern w:val="0"/>
                <w:sz w:val="18"/>
                <w:szCs w:val="18"/>
              </w:rPr>
              <w:t>2069856</w:t>
            </w:r>
            <w:r>
              <w:rPr>
                <w:rFonts w:hint="eastAsia" w:hAnsi="宋体"/>
                <w:color w:val="000000"/>
                <w:kern w:val="0"/>
                <w:sz w:val="18"/>
                <w:szCs w:val="18"/>
              </w:rPr>
              <w:t>号</w:t>
            </w:r>
          </w:p>
        </w:tc>
        <w:tc>
          <w:tcPr>
            <w:tcW w:w="50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钢混</w:t>
            </w:r>
          </w:p>
        </w:tc>
        <w:tc>
          <w:tcPr>
            <w:tcW w:w="492"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其它及住宅</w:t>
            </w:r>
          </w:p>
        </w:tc>
        <w:tc>
          <w:tcPr>
            <w:tcW w:w="851" w:type="dxa"/>
            <w:vMerge w:val="restart"/>
            <w:vAlign w:val="center"/>
          </w:tcPr>
          <w:p>
            <w:pPr>
              <w:spacing w:line="260" w:lineRule="exact"/>
              <w:jc w:val="center"/>
              <w:rPr>
                <w:color w:val="000000"/>
                <w:kern w:val="0"/>
                <w:sz w:val="18"/>
                <w:szCs w:val="18"/>
              </w:rPr>
            </w:pPr>
            <w:r>
              <w:rPr>
                <w:color w:val="000000"/>
                <w:kern w:val="0"/>
                <w:sz w:val="18"/>
                <w:szCs w:val="18"/>
              </w:rPr>
              <w:t>1998</w:t>
            </w:r>
            <w:r>
              <w:rPr>
                <w:rFonts w:hint="eastAsia" w:hAnsi="宋体"/>
                <w:color w:val="000000"/>
                <w:kern w:val="0"/>
                <w:sz w:val="18"/>
                <w:szCs w:val="18"/>
              </w:rPr>
              <w:t>年</w:t>
            </w:r>
          </w:p>
        </w:tc>
        <w:tc>
          <w:tcPr>
            <w:tcW w:w="661" w:type="dxa"/>
            <w:vMerge w:val="restart"/>
            <w:vAlign w:val="center"/>
          </w:tcPr>
          <w:p>
            <w:pPr>
              <w:spacing w:line="260" w:lineRule="exact"/>
              <w:jc w:val="center"/>
              <w:rPr>
                <w:color w:val="000000"/>
                <w:kern w:val="0"/>
                <w:sz w:val="18"/>
                <w:szCs w:val="18"/>
              </w:rPr>
            </w:pPr>
            <w:r>
              <w:rPr>
                <w:color w:val="000000"/>
                <w:kern w:val="0"/>
                <w:sz w:val="18"/>
                <w:szCs w:val="18"/>
              </w:rPr>
              <w:t>5</w:t>
            </w:r>
          </w:p>
        </w:tc>
        <w:tc>
          <w:tcPr>
            <w:tcW w:w="72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均约</w:t>
            </w:r>
            <w:r>
              <w:rPr>
                <w:color w:val="000000"/>
                <w:kern w:val="0"/>
                <w:sz w:val="18"/>
                <w:szCs w:val="18"/>
              </w:rPr>
              <w:t>3.0</w:t>
            </w:r>
          </w:p>
        </w:tc>
        <w:tc>
          <w:tcPr>
            <w:tcW w:w="900" w:type="dxa"/>
            <w:vMerge w:val="restart"/>
            <w:vAlign w:val="center"/>
          </w:tcPr>
          <w:p>
            <w:pPr>
              <w:spacing w:line="260" w:lineRule="exact"/>
              <w:jc w:val="center"/>
              <w:rPr>
                <w:color w:val="000000"/>
                <w:kern w:val="0"/>
                <w:sz w:val="18"/>
                <w:szCs w:val="18"/>
              </w:rPr>
            </w:pPr>
            <w:r>
              <w:rPr>
                <w:color w:val="000000"/>
                <w:kern w:val="0"/>
                <w:sz w:val="18"/>
                <w:szCs w:val="18"/>
              </w:rPr>
              <w:t>6</w:t>
            </w:r>
          </w:p>
        </w:tc>
        <w:tc>
          <w:tcPr>
            <w:tcW w:w="1080" w:type="dxa"/>
            <w:vAlign w:val="center"/>
          </w:tcPr>
          <w:p>
            <w:pPr>
              <w:spacing w:line="260" w:lineRule="exact"/>
              <w:jc w:val="center"/>
              <w:rPr>
                <w:color w:val="000000"/>
                <w:kern w:val="0"/>
                <w:sz w:val="18"/>
                <w:szCs w:val="18"/>
              </w:rPr>
            </w:pPr>
            <w:r>
              <w:rPr>
                <w:color w:val="000000"/>
                <w:kern w:val="0"/>
                <w:sz w:val="18"/>
                <w:szCs w:val="18"/>
              </w:rPr>
              <w:t>732</w:t>
            </w:r>
          </w:p>
        </w:tc>
        <w:tc>
          <w:tcPr>
            <w:tcW w:w="1260" w:type="dxa"/>
            <w:vAlign w:val="center"/>
          </w:tcPr>
          <w:p>
            <w:pPr>
              <w:spacing w:line="260" w:lineRule="exact"/>
              <w:jc w:val="center"/>
              <w:rPr>
                <w:color w:val="000000"/>
                <w:kern w:val="0"/>
                <w:sz w:val="18"/>
                <w:szCs w:val="18"/>
              </w:rPr>
            </w:pPr>
            <w:r>
              <w:rPr>
                <w:rFonts w:hint="eastAsia" w:hAnsi="宋体"/>
                <w:color w:val="000000"/>
                <w:kern w:val="0"/>
                <w:sz w:val="18"/>
                <w:szCs w:val="18"/>
              </w:rPr>
              <w:t>经营</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面砖</w:t>
            </w:r>
          </w:p>
        </w:tc>
        <w:tc>
          <w:tcPr>
            <w:tcW w:w="540" w:type="dxa"/>
            <w:vAlign w:val="center"/>
          </w:tcPr>
          <w:p>
            <w:pPr>
              <w:spacing w:line="260" w:lineRule="exact"/>
              <w:jc w:val="center"/>
              <w:rPr>
                <w:color w:val="000000"/>
                <w:kern w:val="0"/>
                <w:sz w:val="18"/>
                <w:szCs w:val="18"/>
              </w:rPr>
            </w:pPr>
            <w:r>
              <w:rPr>
                <w:color w:val="000000"/>
                <w:kern w:val="0"/>
                <w:sz w:val="18"/>
                <w:szCs w:val="18"/>
              </w:rPr>
              <w:t>1</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展厅</w:t>
            </w:r>
          </w:p>
        </w:tc>
        <w:tc>
          <w:tcPr>
            <w:tcW w:w="873"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瓷砖</w:t>
            </w:r>
          </w:p>
        </w:tc>
        <w:tc>
          <w:tcPr>
            <w:tcW w:w="568" w:type="dxa"/>
            <w:vAlign w:val="center"/>
          </w:tcPr>
          <w:p>
            <w:pPr>
              <w:spacing w:line="260" w:lineRule="exact"/>
              <w:jc w:val="center"/>
              <w:rPr>
                <w:color w:val="000000"/>
                <w:kern w:val="0"/>
                <w:sz w:val="18"/>
                <w:szCs w:val="18"/>
              </w:rPr>
            </w:pPr>
            <w:r>
              <w:rPr>
                <w:rFonts w:hint="eastAsia" w:hAnsi="宋体"/>
                <w:color w:val="000000"/>
                <w:kern w:val="0"/>
                <w:sz w:val="18"/>
                <w:szCs w:val="18"/>
              </w:rPr>
              <w:t>地砖</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刷白</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铝合金窗</w:t>
            </w:r>
          </w:p>
        </w:tc>
        <w:tc>
          <w:tcPr>
            <w:tcW w:w="114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摩托车展厅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continue"/>
            <w:vAlign w:val="center"/>
          </w:tcPr>
          <w:p>
            <w:pPr>
              <w:spacing w:line="260" w:lineRule="exact"/>
              <w:jc w:val="center"/>
              <w:rPr>
                <w:color w:val="000000"/>
                <w:kern w:val="0"/>
                <w:sz w:val="18"/>
                <w:szCs w:val="18"/>
              </w:rPr>
            </w:pPr>
          </w:p>
        </w:tc>
        <w:tc>
          <w:tcPr>
            <w:tcW w:w="1080" w:type="dxa"/>
            <w:vMerge w:val="restart"/>
            <w:vAlign w:val="center"/>
          </w:tcPr>
          <w:p>
            <w:pPr>
              <w:spacing w:line="260" w:lineRule="exact"/>
              <w:jc w:val="center"/>
              <w:rPr>
                <w:color w:val="000000"/>
                <w:kern w:val="0"/>
                <w:sz w:val="18"/>
                <w:szCs w:val="18"/>
              </w:rPr>
            </w:pPr>
            <w:r>
              <w:rPr>
                <w:color w:val="000000"/>
                <w:kern w:val="0"/>
                <w:sz w:val="18"/>
                <w:szCs w:val="18"/>
              </w:rPr>
              <w:t>2902</w:t>
            </w:r>
          </w:p>
        </w:tc>
        <w:tc>
          <w:tcPr>
            <w:tcW w:w="126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办公及经营</w:t>
            </w:r>
          </w:p>
        </w:tc>
        <w:tc>
          <w:tcPr>
            <w:tcW w:w="720" w:type="dxa"/>
            <w:vMerge w:val="restart"/>
            <w:vAlign w:val="center"/>
          </w:tcPr>
          <w:p>
            <w:pPr>
              <w:spacing w:line="260" w:lineRule="exact"/>
              <w:jc w:val="center"/>
              <w:rPr>
                <w:color w:val="000000"/>
                <w:kern w:val="0"/>
                <w:sz w:val="18"/>
                <w:szCs w:val="18"/>
              </w:rPr>
            </w:pPr>
            <w:r>
              <w:rPr>
                <w:rFonts w:hint="eastAsia" w:hAnsi="宋体"/>
                <w:color w:val="000000"/>
                <w:kern w:val="0"/>
                <w:sz w:val="18"/>
                <w:szCs w:val="18"/>
              </w:rPr>
              <w:t>面砖</w:t>
            </w:r>
          </w:p>
        </w:tc>
        <w:tc>
          <w:tcPr>
            <w:tcW w:w="540" w:type="dxa"/>
            <w:vAlign w:val="center"/>
          </w:tcPr>
          <w:p>
            <w:pPr>
              <w:spacing w:line="260" w:lineRule="exact"/>
              <w:jc w:val="center"/>
              <w:rPr>
                <w:color w:val="000000"/>
                <w:kern w:val="0"/>
                <w:sz w:val="18"/>
                <w:szCs w:val="18"/>
              </w:rPr>
            </w:pPr>
            <w:r>
              <w:rPr>
                <w:color w:val="000000"/>
                <w:kern w:val="0"/>
                <w:sz w:val="18"/>
                <w:szCs w:val="18"/>
              </w:rPr>
              <w:t>2</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办公及经营</w:t>
            </w:r>
          </w:p>
        </w:tc>
        <w:tc>
          <w:tcPr>
            <w:tcW w:w="873"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刷白</w:t>
            </w:r>
          </w:p>
        </w:tc>
        <w:tc>
          <w:tcPr>
            <w:tcW w:w="568" w:type="dxa"/>
            <w:vAlign w:val="center"/>
          </w:tcPr>
          <w:p>
            <w:pPr>
              <w:spacing w:line="260" w:lineRule="exact"/>
              <w:jc w:val="center"/>
              <w:rPr>
                <w:color w:val="000000"/>
                <w:kern w:val="0"/>
                <w:sz w:val="18"/>
                <w:szCs w:val="18"/>
              </w:rPr>
            </w:pPr>
            <w:r>
              <w:rPr>
                <w:rFonts w:hint="eastAsia" w:hAnsi="宋体"/>
                <w:color w:val="000000"/>
                <w:kern w:val="0"/>
                <w:sz w:val="18"/>
                <w:szCs w:val="18"/>
              </w:rPr>
              <w:t>地毯</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矿棉板</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铝合金窗</w:t>
            </w:r>
          </w:p>
        </w:tc>
        <w:tc>
          <w:tcPr>
            <w:tcW w:w="114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正常办公，两处楼梯，楼层公用卫生间，</w:t>
            </w:r>
            <w:r>
              <w:rPr>
                <w:color w:val="000000"/>
                <w:kern w:val="0"/>
                <w:sz w:val="18"/>
                <w:szCs w:val="18"/>
              </w:rPr>
              <w:t>2</w:t>
            </w:r>
            <w:r>
              <w:rPr>
                <w:rFonts w:hint="eastAsia" w:hAnsi="宋体"/>
                <w:color w:val="000000"/>
                <w:kern w:val="0"/>
                <w:sz w:val="18"/>
                <w:szCs w:val="18"/>
              </w:rPr>
              <w:t>层屋顶有搭建，通气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continue"/>
            <w:vAlign w:val="center"/>
          </w:tcPr>
          <w:p>
            <w:pPr>
              <w:spacing w:line="260" w:lineRule="exact"/>
              <w:jc w:val="center"/>
              <w:rPr>
                <w:color w:val="000000"/>
                <w:kern w:val="0"/>
                <w:sz w:val="18"/>
                <w:szCs w:val="18"/>
              </w:rPr>
            </w:pPr>
          </w:p>
        </w:tc>
        <w:tc>
          <w:tcPr>
            <w:tcW w:w="1080" w:type="dxa"/>
            <w:vMerge w:val="continue"/>
            <w:vAlign w:val="center"/>
          </w:tcPr>
          <w:p>
            <w:pPr>
              <w:spacing w:line="260" w:lineRule="exact"/>
              <w:jc w:val="center"/>
              <w:rPr>
                <w:color w:val="000000"/>
                <w:kern w:val="0"/>
                <w:sz w:val="18"/>
                <w:szCs w:val="18"/>
              </w:rPr>
            </w:pPr>
          </w:p>
        </w:tc>
        <w:tc>
          <w:tcPr>
            <w:tcW w:w="1260"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540" w:type="dxa"/>
            <w:vMerge w:val="restart"/>
            <w:vAlign w:val="center"/>
          </w:tcPr>
          <w:p>
            <w:pPr>
              <w:spacing w:line="260" w:lineRule="exact"/>
              <w:jc w:val="center"/>
              <w:rPr>
                <w:color w:val="000000"/>
                <w:kern w:val="0"/>
                <w:sz w:val="18"/>
                <w:szCs w:val="18"/>
              </w:rPr>
            </w:pPr>
            <w:r>
              <w:rPr>
                <w:color w:val="000000"/>
                <w:kern w:val="0"/>
                <w:sz w:val="18"/>
                <w:szCs w:val="18"/>
              </w:rPr>
              <w:t>3-6</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原宿舍</w:t>
            </w:r>
          </w:p>
        </w:tc>
        <w:tc>
          <w:tcPr>
            <w:tcW w:w="873"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涂料</w:t>
            </w:r>
          </w:p>
        </w:tc>
        <w:tc>
          <w:tcPr>
            <w:tcW w:w="568" w:type="dxa"/>
            <w:vAlign w:val="center"/>
          </w:tcPr>
          <w:p>
            <w:pPr>
              <w:spacing w:line="260" w:lineRule="exact"/>
              <w:jc w:val="center"/>
              <w:rPr>
                <w:color w:val="000000"/>
                <w:kern w:val="0"/>
                <w:sz w:val="18"/>
                <w:szCs w:val="18"/>
              </w:rPr>
            </w:pPr>
            <w:r>
              <w:rPr>
                <w:rFonts w:hint="eastAsia" w:hAnsi="宋体"/>
                <w:color w:val="000000"/>
                <w:kern w:val="0"/>
                <w:sz w:val="18"/>
                <w:szCs w:val="18"/>
              </w:rPr>
              <w:t>地砖</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涂料</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铝合金窗</w:t>
            </w:r>
          </w:p>
        </w:tc>
        <w:tc>
          <w:tcPr>
            <w:tcW w:w="114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空置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Merge w:val="continue"/>
            <w:vAlign w:val="center"/>
          </w:tcPr>
          <w:p>
            <w:pPr>
              <w:spacing w:line="260" w:lineRule="exact"/>
              <w:jc w:val="center"/>
              <w:rPr>
                <w:color w:val="000000"/>
                <w:kern w:val="0"/>
                <w:sz w:val="18"/>
                <w:szCs w:val="18"/>
              </w:rPr>
            </w:pPr>
          </w:p>
        </w:tc>
        <w:tc>
          <w:tcPr>
            <w:tcW w:w="992" w:type="dxa"/>
            <w:vMerge w:val="continue"/>
            <w:vAlign w:val="center"/>
          </w:tcPr>
          <w:p>
            <w:pPr>
              <w:spacing w:line="260" w:lineRule="exact"/>
              <w:jc w:val="center"/>
              <w:rPr>
                <w:color w:val="000000"/>
                <w:kern w:val="0"/>
                <w:sz w:val="18"/>
                <w:szCs w:val="18"/>
              </w:rPr>
            </w:pPr>
          </w:p>
        </w:tc>
        <w:tc>
          <w:tcPr>
            <w:tcW w:w="500" w:type="dxa"/>
            <w:vMerge w:val="continue"/>
            <w:vAlign w:val="center"/>
          </w:tcPr>
          <w:p>
            <w:pPr>
              <w:spacing w:line="260" w:lineRule="exact"/>
              <w:jc w:val="center"/>
              <w:rPr>
                <w:color w:val="000000"/>
                <w:kern w:val="0"/>
                <w:sz w:val="18"/>
                <w:szCs w:val="18"/>
              </w:rPr>
            </w:pPr>
          </w:p>
        </w:tc>
        <w:tc>
          <w:tcPr>
            <w:tcW w:w="492" w:type="dxa"/>
            <w:vMerge w:val="continue"/>
            <w:vAlign w:val="center"/>
          </w:tcPr>
          <w:p>
            <w:pPr>
              <w:spacing w:line="260" w:lineRule="exact"/>
              <w:jc w:val="center"/>
              <w:rPr>
                <w:color w:val="000000"/>
                <w:kern w:val="0"/>
                <w:sz w:val="18"/>
                <w:szCs w:val="18"/>
              </w:rPr>
            </w:pPr>
          </w:p>
        </w:tc>
        <w:tc>
          <w:tcPr>
            <w:tcW w:w="851" w:type="dxa"/>
            <w:vMerge w:val="continue"/>
            <w:vAlign w:val="center"/>
          </w:tcPr>
          <w:p>
            <w:pPr>
              <w:spacing w:line="260" w:lineRule="exact"/>
              <w:jc w:val="center"/>
              <w:rPr>
                <w:color w:val="000000"/>
                <w:kern w:val="0"/>
                <w:sz w:val="18"/>
                <w:szCs w:val="18"/>
              </w:rPr>
            </w:pPr>
          </w:p>
        </w:tc>
        <w:tc>
          <w:tcPr>
            <w:tcW w:w="661"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900" w:type="dxa"/>
            <w:vMerge w:val="continue"/>
            <w:vAlign w:val="center"/>
          </w:tcPr>
          <w:p>
            <w:pPr>
              <w:spacing w:line="260" w:lineRule="exact"/>
              <w:jc w:val="center"/>
              <w:rPr>
                <w:color w:val="000000"/>
                <w:kern w:val="0"/>
                <w:sz w:val="18"/>
                <w:szCs w:val="18"/>
              </w:rPr>
            </w:pPr>
          </w:p>
        </w:tc>
        <w:tc>
          <w:tcPr>
            <w:tcW w:w="1080" w:type="dxa"/>
            <w:vMerge w:val="continue"/>
            <w:vAlign w:val="center"/>
          </w:tcPr>
          <w:p>
            <w:pPr>
              <w:spacing w:line="260" w:lineRule="exact"/>
              <w:jc w:val="center"/>
              <w:rPr>
                <w:color w:val="000000"/>
                <w:kern w:val="0"/>
                <w:sz w:val="18"/>
                <w:szCs w:val="18"/>
              </w:rPr>
            </w:pPr>
          </w:p>
        </w:tc>
        <w:tc>
          <w:tcPr>
            <w:tcW w:w="1260" w:type="dxa"/>
            <w:vMerge w:val="continue"/>
            <w:vAlign w:val="center"/>
          </w:tcPr>
          <w:p>
            <w:pPr>
              <w:spacing w:line="260" w:lineRule="exact"/>
              <w:jc w:val="center"/>
              <w:rPr>
                <w:color w:val="000000"/>
                <w:kern w:val="0"/>
                <w:sz w:val="18"/>
                <w:szCs w:val="18"/>
              </w:rPr>
            </w:pPr>
          </w:p>
        </w:tc>
        <w:tc>
          <w:tcPr>
            <w:tcW w:w="720" w:type="dxa"/>
            <w:vMerge w:val="continue"/>
            <w:vAlign w:val="center"/>
          </w:tcPr>
          <w:p>
            <w:pPr>
              <w:spacing w:line="260" w:lineRule="exact"/>
              <w:jc w:val="center"/>
              <w:rPr>
                <w:color w:val="000000"/>
                <w:kern w:val="0"/>
                <w:sz w:val="18"/>
                <w:szCs w:val="18"/>
              </w:rPr>
            </w:pPr>
          </w:p>
        </w:tc>
        <w:tc>
          <w:tcPr>
            <w:tcW w:w="540" w:type="dxa"/>
            <w:vMerge w:val="continue"/>
            <w:vAlign w:val="center"/>
          </w:tcPr>
          <w:p>
            <w:pPr>
              <w:spacing w:line="260" w:lineRule="exact"/>
              <w:jc w:val="center"/>
              <w:rPr>
                <w:color w:val="000000"/>
                <w:kern w:val="0"/>
                <w:sz w:val="18"/>
                <w:szCs w:val="18"/>
              </w:rPr>
            </w:pPr>
          </w:p>
        </w:tc>
        <w:tc>
          <w:tcPr>
            <w:tcW w:w="892" w:type="dxa"/>
            <w:vAlign w:val="center"/>
          </w:tcPr>
          <w:p>
            <w:pPr>
              <w:spacing w:line="260" w:lineRule="exact"/>
              <w:jc w:val="center"/>
              <w:rPr>
                <w:color w:val="000000"/>
                <w:kern w:val="0"/>
                <w:sz w:val="18"/>
                <w:szCs w:val="18"/>
              </w:rPr>
            </w:pPr>
            <w:r>
              <w:rPr>
                <w:rFonts w:hint="eastAsia" w:hAnsi="宋体"/>
                <w:color w:val="000000"/>
                <w:kern w:val="0"/>
                <w:sz w:val="18"/>
                <w:szCs w:val="18"/>
              </w:rPr>
              <w:t>楼梯</w:t>
            </w:r>
          </w:p>
        </w:tc>
        <w:tc>
          <w:tcPr>
            <w:tcW w:w="4148" w:type="dxa"/>
            <w:gridSpan w:val="8"/>
            <w:vAlign w:val="center"/>
          </w:tcPr>
          <w:p>
            <w:pPr>
              <w:spacing w:line="260" w:lineRule="exact"/>
              <w:jc w:val="center"/>
              <w:rPr>
                <w:color w:val="000000"/>
                <w:kern w:val="0"/>
                <w:sz w:val="18"/>
                <w:szCs w:val="18"/>
              </w:rPr>
            </w:pPr>
            <w:r>
              <w:rPr>
                <w:rFonts w:hint="eastAsia" w:hAnsi="宋体"/>
                <w:color w:val="000000"/>
                <w:kern w:val="0"/>
                <w:sz w:val="18"/>
                <w:szCs w:val="18"/>
              </w:rPr>
              <w:t>花岗石踏步，不锈钢扶手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260" w:lineRule="exact"/>
              <w:jc w:val="center"/>
              <w:rPr>
                <w:color w:val="000000"/>
                <w:kern w:val="0"/>
                <w:sz w:val="18"/>
                <w:szCs w:val="18"/>
              </w:rPr>
            </w:pPr>
            <w:r>
              <w:rPr>
                <w:color w:val="000000"/>
                <w:kern w:val="0"/>
                <w:sz w:val="18"/>
                <w:szCs w:val="18"/>
              </w:rPr>
              <w:t>5</w:t>
            </w:r>
          </w:p>
        </w:tc>
        <w:tc>
          <w:tcPr>
            <w:tcW w:w="992" w:type="dxa"/>
            <w:vAlign w:val="center"/>
          </w:tcPr>
          <w:p>
            <w:pPr>
              <w:spacing w:line="260" w:lineRule="exact"/>
              <w:jc w:val="center"/>
              <w:rPr>
                <w:color w:val="000000"/>
                <w:kern w:val="0"/>
                <w:sz w:val="18"/>
                <w:szCs w:val="18"/>
              </w:rPr>
            </w:pPr>
            <w:r>
              <w:rPr>
                <w:color w:val="000000"/>
                <w:kern w:val="0"/>
                <w:sz w:val="18"/>
                <w:szCs w:val="18"/>
              </w:rPr>
              <w:t>/</w:t>
            </w:r>
          </w:p>
        </w:tc>
        <w:tc>
          <w:tcPr>
            <w:tcW w:w="500" w:type="dxa"/>
            <w:vAlign w:val="center"/>
          </w:tcPr>
          <w:p>
            <w:pPr>
              <w:spacing w:line="260" w:lineRule="exact"/>
              <w:jc w:val="center"/>
              <w:rPr>
                <w:color w:val="000000"/>
                <w:kern w:val="0"/>
                <w:sz w:val="18"/>
                <w:szCs w:val="18"/>
              </w:rPr>
            </w:pPr>
            <w:r>
              <w:rPr>
                <w:rFonts w:hint="eastAsia" w:hAnsi="宋体"/>
                <w:color w:val="000000"/>
                <w:kern w:val="0"/>
                <w:sz w:val="18"/>
                <w:szCs w:val="18"/>
              </w:rPr>
              <w:t>轻钢</w:t>
            </w:r>
          </w:p>
        </w:tc>
        <w:tc>
          <w:tcPr>
            <w:tcW w:w="492" w:type="dxa"/>
            <w:vAlign w:val="center"/>
          </w:tcPr>
          <w:p>
            <w:pPr>
              <w:spacing w:line="260" w:lineRule="exact"/>
              <w:jc w:val="center"/>
              <w:rPr>
                <w:color w:val="000000"/>
                <w:kern w:val="0"/>
                <w:sz w:val="18"/>
                <w:szCs w:val="18"/>
              </w:rPr>
            </w:pPr>
            <w:r>
              <w:rPr>
                <w:rFonts w:hint="eastAsia" w:hAnsi="宋体"/>
                <w:color w:val="000000"/>
                <w:kern w:val="0"/>
                <w:sz w:val="18"/>
                <w:szCs w:val="18"/>
              </w:rPr>
              <w:t>简单房</w:t>
            </w:r>
          </w:p>
        </w:tc>
        <w:tc>
          <w:tcPr>
            <w:tcW w:w="851" w:type="dxa"/>
            <w:vAlign w:val="center"/>
          </w:tcPr>
          <w:p>
            <w:pPr>
              <w:spacing w:line="260" w:lineRule="exact"/>
              <w:jc w:val="center"/>
              <w:rPr>
                <w:color w:val="000000"/>
                <w:kern w:val="0"/>
                <w:sz w:val="18"/>
                <w:szCs w:val="18"/>
              </w:rPr>
            </w:pPr>
            <w:r>
              <w:rPr>
                <w:color w:val="000000"/>
                <w:kern w:val="0"/>
                <w:sz w:val="18"/>
                <w:szCs w:val="18"/>
              </w:rPr>
              <w:t>2010</w:t>
            </w:r>
          </w:p>
        </w:tc>
        <w:tc>
          <w:tcPr>
            <w:tcW w:w="661" w:type="dxa"/>
            <w:vAlign w:val="center"/>
          </w:tcPr>
          <w:p>
            <w:pPr>
              <w:spacing w:line="260" w:lineRule="exact"/>
              <w:jc w:val="center"/>
              <w:rPr>
                <w:color w:val="000000"/>
                <w:kern w:val="0"/>
                <w:sz w:val="18"/>
                <w:szCs w:val="18"/>
              </w:rPr>
            </w:pPr>
            <w:r>
              <w:rPr>
                <w:color w:val="000000"/>
                <w:kern w:val="0"/>
                <w:sz w:val="18"/>
                <w:szCs w:val="18"/>
              </w:rPr>
              <w:t>6</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约</w:t>
            </w:r>
            <w:r>
              <w:rPr>
                <w:color w:val="000000"/>
                <w:kern w:val="0"/>
                <w:sz w:val="18"/>
                <w:szCs w:val="18"/>
              </w:rPr>
              <w:t>3.2</w:t>
            </w:r>
          </w:p>
        </w:tc>
        <w:tc>
          <w:tcPr>
            <w:tcW w:w="900" w:type="dxa"/>
            <w:vAlign w:val="center"/>
          </w:tcPr>
          <w:p>
            <w:pPr>
              <w:spacing w:line="260" w:lineRule="exact"/>
              <w:jc w:val="center"/>
              <w:rPr>
                <w:color w:val="000000"/>
                <w:kern w:val="0"/>
                <w:sz w:val="18"/>
                <w:szCs w:val="18"/>
              </w:rPr>
            </w:pPr>
            <w:r>
              <w:rPr>
                <w:color w:val="000000"/>
                <w:kern w:val="0"/>
                <w:sz w:val="18"/>
                <w:szCs w:val="18"/>
              </w:rPr>
              <w:t>1</w:t>
            </w:r>
          </w:p>
        </w:tc>
        <w:tc>
          <w:tcPr>
            <w:tcW w:w="1080" w:type="dxa"/>
            <w:vAlign w:val="center"/>
          </w:tcPr>
          <w:p>
            <w:pPr>
              <w:spacing w:line="260" w:lineRule="exact"/>
              <w:jc w:val="center"/>
              <w:rPr>
                <w:color w:val="000000"/>
                <w:kern w:val="0"/>
                <w:sz w:val="18"/>
                <w:szCs w:val="18"/>
              </w:rPr>
            </w:pPr>
            <w:r>
              <w:rPr>
                <w:color w:val="000000"/>
                <w:kern w:val="0"/>
                <w:sz w:val="18"/>
                <w:szCs w:val="18"/>
              </w:rPr>
              <w:t>9.92</w:t>
            </w:r>
          </w:p>
        </w:tc>
        <w:tc>
          <w:tcPr>
            <w:tcW w:w="1260" w:type="dxa"/>
            <w:vAlign w:val="center"/>
          </w:tcPr>
          <w:p>
            <w:pPr>
              <w:spacing w:line="260" w:lineRule="exact"/>
              <w:jc w:val="center"/>
              <w:rPr>
                <w:color w:val="000000"/>
                <w:kern w:val="0"/>
                <w:sz w:val="18"/>
                <w:szCs w:val="18"/>
              </w:rPr>
            </w:pPr>
            <w:r>
              <w:rPr>
                <w:rFonts w:hint="eastAsia" w:hAnsi="宋体"/>
                <w:color w:val="000000"/>
                <w:kern w:val="0"/>
                <w:sz w:val="18"/>
                <w:szCs w:val="18"/>
              </w:rPr>
              <w:t>小库房</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彩钢</w:t>
            </w:r>
          </w:p>
        </w:tc>
        <w:tc>
          <w:tcPr>
            <w:tcW w:w="540" w:type="dxa"/>
            <w:vAlign w:val="center"/>
          </w:tcPr>
          <w:p>
            <w:pPr>
              <w:spacing w:line="260" w:lineRule="exact"/>
              <w:jc w:val="center"/>
              <w:rPr>
                <w:color w:val="000000"/>
                <w:kern w:val="0"/>
                <w:sz w:val="18"/>
                <w:szCs w:val="18"/>
              </w:rPr>
            </w:pPr>
            <w:r>
              <w:rPr>
                <w:color w:val="000000"/>
                <w:kern w:val="0"/>
                <w:sz w:val="18"/>
                <w:szCs w:val="18"/>
              </w:rPr>
              <w:t>1</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堆放物品</w:t>
            </w:r>
          </w:p>
        </w:tc>
        <w:tc>
          <w:tcPr>
            <w:tcW w:w="873"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彩钢</w:t>
            </w:r>
          </w:p>
        </w:tc>
        <w:tc>
          <w:tcPr>
            <w:tcW w:w="568" w:type="dxa"/>
            <w:vAlign w:val="center"/>
          </w:tcPr>
          <w:p>
            <w:pPr>
              <w:spacing w:line="260" w:lineRule="exact"/>
              <w:jc w:val="center"/>
              <w:rPr>
                <w:color w:val="000000"/>
                <w:kern w:val="0"/>
                <w:sz w:val="18"/>
                <w:szCs w:val="18"/>
              </w:rPr>
            </w:pPr>
            <w:r>
              <w:rPr>
                <w:rFonts w:hint="eastAsia" w:hAnsi="宋体"/>
                <w:color w:val="000000"/>
                <w:kern w:val="0"/>
                <w:sz w:val="18"/>
                <w:szCs w:val="18"/>
              </w:rPr>
              <w:t>水泥</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彩钢</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彩钢</w:t>
            </w:r>
          </w:p>
        </w:tc>
        <w:tc>
          <w:tcPr>
            <w:tcW w:w="114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260" w:lineRule="exact"/>
              <w:jc w:val="center"/>
              <w:rPr>
                <w:color w:val="000000"/>
                <w:kern w:val="0"/>
                <w:sz w:val="18"/>
                <w:szCs w:val="18"/>
              </w:rPr>
            </w:pPr>
            <w:r>
              <w:rPr>
                <w:color w:val="000000"/>
                <w:kern w:val="0"/>
                <w:sz w:val="18"/>
                <w:szCs w:val="18"/>
              </w:rPr>
              <w:t>6</w:t>
            </w:r>
          </w:p>
        </w:tc>
        <w:tc>
          <w:tcPr>
            <w:tcW w:w="992" w:type="dxa"/>
            <w:vAlign w:val="center"/>
          </w:tcPr>
          <w:p>
            <w:pPr>
              <w:spacing w:line="260" w:lineRule="exact"/>
              <w:jc w:val="center"/>
              <w:rPr>
                <w:color w:val="000000"/>
                <w:kern w:val="0"/>
                <w:sz w:val="18"/>
                <w:szCs w:val="18"/>
              </w:rPr>
            </w:pPr>
            <w:r>
              <w:rPr>
                <w:color w:val="000000"/>
                <w:kern w:val="0"/>
                <w:sz w:val="18"/>
                <w:szCs w:val="18"/>
              </w:rPr>
              <w:t>/</w:t>
            </w:r>
          </w:p>
        </w:tc>
        <w:tc>
          <w:tcPr>
            <w:tcW w:w="500" w:type="dxa"/>
            <w:vAlign w:val="center"/>
          </w:tcPr>
          <w:p>
            <w:pPr>
              <w:spacing w:line="260" w:lineRule="exact"/>
              <w:jc w:val="center"/>
              <w:rPr>
                <w:color w:val="000000"/>
                <w:kern w:val="0"/>
                <w:sz w:val="18"/>
                <w:szCs w:val="18"/>
              </w:rPr>
            </w:pPr>
            <w:r>
              <w:rPr>
                <w:rFonts w:hint="eastAsia" w:hAnsi="宋体"/>
                <w:color w:val="000000"/>
                <w:kern w:val="0"/>
                <w:sz w:val="18"/>
                <w:szCs w:val="18"/>
              </w:rPr>
              <w:t>轻钢</w:t>
            </w:r>
          </w:p>
        </w:tc>
        <w:tc>
          <w:tcPr>
            <w:tcW w:w="492" w:type="dxa"/>
            <w:vAlign w:val="center"/>
          </w:tcPr>
          <w:p>
            <w:pPr>
              <w:spacing w:line="260" w:lineRule="exact"/>
              <w:jc w:val="center"/>
              <w:rPr>
                <w:color w:val="000000"/>
                <w:kern w:val="0"/>
                <w:sz w:val="18"/>
                <w:szCs w:val="18"/>
              </w:rPr>
            </w:pPr>
            <w:r>
              <w:rPr>
                <w:rFonts w:hint="eastAsia" w:hAnsi="宋体"/>
                <w:color w:val="000000"/>
                <w:kern w:val="0"/>
                <w:sz w:val="18"/>
                <w:szCs w:val="18"/>
              </w:rPr>
              <w:t>简单房</w:t>
            </w:r>
          </w:p>
        </w:tc>
        <w:tc>
          <w:tcPr>
            <w:tcW w:w="851" w:type="dxa"/>
            <w:vAlign w:val="center"/>
          </w:tcPr>
          <w:p>
            <w:pPr>
              <w:spacing w:line="260" w:lineRule="exact"/>
              <w:jc w:val="center"/>
              <w:rPr>
                <w:color w:val="000000"/>
                <w:kern w:val="0"/>
                <w:sz w:val="18"/>
                <w:szCs w:val="18"/>
              </w:rPr>
            </w:pPr>
            <w:r>
              <w:rPr>
                <w:color w:val="000000"/>
                <w:kern w:val="0"/>
                <w:sz w:val="18"/>
                <w:szCs w:val="18"/>
              </w:rPr>
              <w:t>2010</w:t>
            </w:r>
          </w:p>
        </w:tc>
        <w:tc>
          <w:tcPr>
            <w:tcW w:w="661" w:type="dxa"/>
            <w:vAlign w:val="center"/>
          </w:tcPr>
          <w:p>
            <w:pPr>
              <w:spacing w:line="260" w:lineRule="exact"/>
              <w:jc w:val="center"/>
              <w:rPr>
                <w:color w:val="000000"/>
                <w:kern w:val="0"/>
                <w:sz w:val="18"/>
                <w:szCs w:val="18"/>
              </w:rPr>
            </w:pPr>
            <w:r>
              <w:rPr>
                <w:color w:val="000000"/>
                <w:kern w:val="0"/>
                <w:sz w:val="18"/>
                <w:szCs w:val="18"/>
              </w:rPr>
              <w:t>7</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约</w:t>
            </w:r>
            <w:r>
              <w:rPr>
                <w:color w:val="000000"/>
                <w:kern w:val="0"/>
                <w:sz w:val="18"/>
                <w:szCs w:val="18"/>
              </w:rPr>
              <w:t>3.2</w:t>
            </w:r>
          </w:p>
        </w:tc>
        <w:tc>
          <w:tcPr>
            <w:tcW w:w="900" w:type="dxa"/>
            <w:vAlign w:val="center"/>
          </w:tcPr>
          <w:p>
            <w:pPr>
              <w:spacing w:line="260" w:lineRule="exact"/>
              <w:jc w:val="center"/>
              <w:rPr>
                <w:color w:val="000000"/>
                <w:kern w:val="0"/>
                <w:sz w:val="18"/>
                <w:szCs w:val="18"/>
              </w:rPr>
            </w:pPr>
            <w:r>
              <w:rPr>
                <w:color w:val="000000"/>
                <w:kern w:val="0"/>
                <w:sz w:val="18"/>
                <w:szCs w:val="18"/>
              </w:rPr>
              <w:t>1</w:t>
            </w:r>
          </w:p>
        </w:tc>
        <w:tc>
          <w:tcPr>
            <w:tcW w:w="1080" w:type="dxa"/>
            <w:vAlign w:val="center"/>
          </w:tcPr>
          <w:p>
            <w:pPr>
              <w:spacing w:line="260" w:lineRule="exact"/>
              <w:jc w:val="center"/>
              <w:rPr>
                <w:color w:val="000000"/>
                <w:kern w:val="0"/>
                <w:sz w:val="18"/>
                <w:szCs w:val="18"/>
              </w:rPr>
            </w:pPr>
            <w:r>
              <w:rPr>
                <w:color w:val="000000"/>
                <w:kern w:val="0"/>
                <w:sz w:val="18"/>
                <w:szCs w:val="18"/>
              </w:rPr>
              <w:t>19.73</w:t>
            </w:r>
          </w:p>
        </w:tc>
        <w:tc>
          <w:tcPr>
            <w:tcW w:w="1260" w:type="dxa"/>
            <w:vAlign w:val="center"/>
          </w:tcPr>
          <w:p>
            <w:pPr>
              <w:spacing w:line="260" w:lineRule="exact"/>
              <w:jc w:val="center"/>
              <w:rPr>
                <w:color w:val="000000"/>
                <w:kern w:val="0"/>
                <w:sz w:val="18"/>
                <w:szCs w:val="18"/>
              </w:rPr>
            </w:pPr>
            <w:r>
              <w:rPr>
                <w:rFonts w:hint="eastAsia" w:hAnsi="宋体"/>
                <w:color w:val="000000"/>
                <w:kern w:val="0"/>
                <w:sz w:val="18"/>
                <w:szCs w:val="18"/>
              </w:rPr>
              <w:t>小库房</w:t>
            </w:r>
          </w:p>
        </w:tc>
        <w:tc>
          <w:tcPr>
            <w:tcW w:w="720" w:type="dxa"/>
            <w:vAlign w:val="center"/>
          </w:tcPr>
          <w:p>
            <w:pPr>
              <w:spacing w:line="260" w:lineRule="exact"/>
              <w:jc w:val="center"/>
              <w:rPr>
                <w:color w:val="000000"/>
                <w:kern w:val="0"/>
                <w:sz w:val="18"/>
                <w:szCs w:val="18"/>
              </w:rPr>
            </w:pPr>
            <w:r>
              <w:rPr>
                <w:rFonts w:hint="eastAsia" w:hAnsi="宋体"/>
                <w:color w:val="000000"/>
                <w:kern w:val="0"/>
                <w:sz w:val="18"/>
                <w:szCs w:val="18"/>
              </w:rPr>
              <w:t>彩钢</w:t>
            </w:r>
          </w:p>
        </w:tc>
        <w:tc>
          <w:tcPr>
            <w:tcW w:w="540" w:type="dxa"/>
            <w:vAlign w:val="center"/>
          </w:tcPr>
          <w:p>
            <w:pPr>
              <w:spacing w:line="260" w:lineRule="exact"/>
              <w:jc w:val="center"/>
              <w:rPr>
                <w:color w:val="000000"/>
                <w:kern w:val="0"/>
                <w:sz w:val="18"/>
                <w:szCs w:val="18"/>
              </w:rPr>
            </w:pPr>
            <w:r>
              <w:rPr>
                <w:color w:val="000000"/>
                <w:kern w:val="0"/>
                <w:sz w:val="18"/>
                <w:szCs w:val="18"/>
              </w:rPr>
              <w:t>1</w:t>
            </w:r>
          </w:p>
        </w:tc>
        <w:tc>
          <w:tcPr>
            <w:tcW w:w="90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堆放物品</w:t>
            </w:r>
          </w:p>
        </w:tc>
        <w:tc>
          <w:tcPr>
            <w:tcW w:w="873"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彩钢</w:t>
            </w:r>
          </w:p>
        </w:tc>
        <w:tc>
          <w:tcPr>
            <w:tcW w:w="568" w:type="dxa"/>
            <w:vAlign w:val="center"/>
          </w:tcPr>
          <w:p>
            <w:pPr>
              <w:spacing w:line="260" w:lineRule="exact"/>
              <w:jc w:val="center"/>
              <w:rPr>
                <w:color w:val="000000"/>
                <w:kern w:val="0"/>
                <w:sz w:val="18"/>
                <w:szCs w:val="18"/>
              </w:rPr>
            </w:pPr>
            <w:r>
              <w:rPr>
                <w:rFonts w:hint="eastAsia" w:hAnsi="宋体"/>
                <w:color w:val="000000"/>
                <w:kern w:val="0"/>
                <w:sz w:val="18"/>
                <w:szCs w:val="18"/>
              </w:rPr>
              <w:t>水泥</w:t>
            </w:r>
          </w:p>
        </w:tc>
        <w:tc>
          <w:tcPr>
            <w:tcW w:w="708" w:type="dxa"/>
            <w:vAlign w:val="center"/>
          </w:tcPr>
          <w:p>
            <w:pPr>
              <w:spacing w:line="260" w:lineRule="exact"/>
              <w:jc w:val="center"/>
              <w:rPr>
                <w:color w:val="000000"/>
                <w:kern w:val="0"/>
                <w:sz w:val="18"/>
                <w:szCs w:val="18"/>
              </w:rPr>
            </w:pPr>
            <w:r>
              <w:rPr>
                <w:rFonts w:hint="eastAsia" w:hAnsi="宋体"/>
                <w:color w:val="000000"/>
                <w:kern w:val="0"/>
                <w:sz w:val="18"/>
                <w:szCs w:val="18"/>
              </w:rPr>
              <w:t>彩钢</w:t>
            </w:r>
          </w:p>
        </w:tc>
        <w:tc>
          <w:tcPr>
            <w:tcW w:w="851" w:type="dxa"/>
            <w:vAlign w:val="center"/>
          </w:tcPr>
          <w:p>
            <w:pPr>
              <w:spacing w:line="260" w:lineRule="exact"/>
              <w:jc w:val="center"/>
              <w:rPr>
                <w:color w:val="000000"/>
                <w:kern w:val="0"/>
                <w:sz w:val="18"/>
                <w:szCs w:val="18"/>
              </w:rPr>
            </w:pPr>
            <w:r>
              <w:rPr>
                <w:rFonts w:hint="eastAsia" w:hAnsi="宋体"/>
                <w:color w:val="000000"/>
                <w:kern w:val="0"/>
                <w:sz w:val="18"/>
                <w:szCs w:val="18"/>
              </w:rPr>
              <w:t>彩钢</w:t>
            </w:r>
          </w:p>
        </w:tc>
        <w:tc>
          <w:tcPr>
            <w:tcW w:w="1140" w:type="dxa"/>
            <w:gridSpan w:val="2"/>
            <w:vAlign w:val="center"/>
          </w:tcPr>
          <w:p>
            <w:pPr>
              <w:spacing w:line="260" w:lineRule="exact"/>
              <w:jc w:val="center"/>
              <w:rPr>
                <w:color w:val="000000"/>
                <w:kern w:val="0"/>
                <w:sz w:val="18"/>
                <w:szCs w:val="18"/>
              </w:rPr>
            </w:pPr>
            <w:r>
              <w:rPr>
                <w:rFonts w:hint="eastAsia" w:hAnsi="宋体"/>
                <w:color w:val="000000"/>
                <w:kern w:val="0"/>
                <w:sz w:val="18"/>
                <w:szCs w:val="18"/>
              </w:rPr>
              <w:t>正常使用</w:t>
            </w:r>
          </w:p>
        </w:tc>
      </w:tr>
    </w:tbl>
    <w:p>
      <w:pPr>
        <w:pStyle w:val="5"/>
        <w:snapToGrid w:val="0"/>
        <w:spacing w:line="500" w:lineRule="exact"/>
        <w:ind w:left="31680" w:hanging="420" w:hangingChars="175"/>
        <w:rPr>
          <w:rFonts w:ascii="黑体" w:eastAsia="黑体"/>
          <w:b/>
          <w:bCs/>
          <w:color w:val="000000"/>
          <w:sz w:val="24"/>
        </w:rPr>
      </w:pPr>
    </w:p>
    <w:p>
      <w:pPr>
        <w:pStyle w:val="5"/>
        <w:snapToGrid w:val="0"/>
        <w:spacing w:line="500" w:lineRule="exact"/>
        <w:ind w:left="31680" w:hanging="420" w:hangingChars="175"/>
        <w:rPr>
          <w:rFonts w:ascii="黑体" w:eastAsia="黑体"/>
          <w:b/>
          <w:bCs/>
          <w:color w:val="000000"/>
          <w:sz w:val="24"/>
        </w:rPr>
      </w:pPr>
    </w:p>
    <w:p>
      <w:pPr>
        <w:pStyle w:val="5"/>
        <w:snapToGrid w:val="0"/>
        <w:spacing w:line="500" w:lineRule="exact"/>
        <w:ind w:left="31680" w:hanging="420" w:hangingChars="175"/>
        <w:rPr>
          <w:rFonts w:ascii="黑体" w:eastAsia="黑体"/>
          <w:b/>
          <w:bCs/>
          <w:color w:val="000000"/>
          <w:sz w:val="24"/>
        </w:rPr>
      </w:pPr>
    </w:p>
    <w:p>
      <w:pPr>
        <w:pStyle w:val="5"/>
        <w:snapToGrid w:val="0"/>
        <w:spacing w:line="500" w:lineRule="exact"/>
        <w:ind w:left="31680" w:hanging="420" w:hangingChars="175"/>
        <w:rPr>
          <w:rFonts w:ascii="黑体" w:eastAsia="黑体"/>
          <w:b/>
          <w:bCs/>
          <w:color w:val="000000"/>
          <w:sz w:val="24"/>
        </w:rPr>
      </w:pPr>
    </w:p>
    <w:p>
      <w:pPr>
        <w:pStyle w:val="5"/>
        <w:snapToGrid w:val="0"/>
        <w:spacing w:line="500" w:lineRule="exact"/>
        <w:ind w:left="31680" w:hanging="420" w:hangingChars="175"/>
        <w:rPr>
          <w:rFonts w:ascii="黑体" w:eastAsia="黑体"/>
          <w:b/>
          <w:bCs/>
          <w:color w:val="000000"/>
          <w:sz w:val="24"/>
        </w:rPr>
      </w:pPr>
    </w:p>
    <w:p>
      <w:pPr>
        <w:pStyle w:val="5"/>
        <w:snapToGrid w:val="0"/>
        <w:spacing w:line="500" w:lineRule="exact"/>
        <w:ind w:left="31680" w:hanging="420" w:hangingChars="175"/>
        <w:rPr>
          <w:rFonts w:ascii="黑体" w:eastAsia="黑体"/>
          <w:b/>
          <w:bCs/>
          <w:color w:val="000000"/>
          <w:sz w:val="24"/>
        </w:rPr>
        <w:sectPr>
          <w:headerReference r:id="rId6" w:type="default"/>
          <w:footerReference r:id="rId7" w:type="default"/>
          <w:footerReference r:id="rId8" w:type="even"/>
          <w:pgSz w:w="16838" w:h="11906" w:orient="landscape"/>
          <w:pgMar w:top="1588" w:right="1814" w:bottom="1361" w:left="1361" w:header="851" w:footer="992" w:gutter="0"/>
          <w:pgNumType w:start="20"/>
          <w:cols w:space="720" w:num="1"/>
          <w:docGrid w:type="linesAndChars" w:linePitch="312" w:charSpace="0"/>
        </w:sectPr>
      </w:pPr>
    </w:p>
    <w:p>
      <w:pPr>
        <w:pStyle w:val="5"/>
        <w:snapToGrid w:val="0"/>
        <w:spacing w:line="500" w:lineRule="exact"/>
        <w:ind w:left="31680" w:hanging="422" w:hangingChars="175"/>
        <w:rPr>
          <w:rFonts w:ascii="宋体"/>
          <w:b/>
          <w:color w:val="000000"/>
          <w:sz w:val="24"/>
        </w:rPr>
      </w:pPr>
      <w:r>
        <w:rPr>
          <w:rFonts w:hint="eastAsia" w:ascii="黑体" w:eastAsia="黑体"/>
          <w:b/>
          <w:bCs/>
          <w:color w:val="000000"/>
          <w:sz w:val="24"/>
        </w:rPr>
        <w:t>五、价值时点</w:t>
      </w:r>
    </w:p>
    <w:p>
      <w:pPr>
        <w:pStyle w:val="5"/>
        <w:snapToGrid w:val="0"/>
        <w:spacing w:line="500" w:lineRule="exact"/>
        <w:ind w:left="0" w:firstLine="600" w:firstLineChars="250"/>
        <w:rPr>
          <w:snapToGrid w:val="0"/>
          <w:color w:val="000000"/>
          <w:kern w:val="0"/>
          <w:sz w:val="24"/>
        </w:rPr>
      </w:pPr>
      <w:r>
        <w:rPr>
          <w:rFonts w:hint="eastAsia"/>
          <w:snapToGrid w:val="0"/>
          <w:color w:val="000000"/>
          <w:kern w:val="0"/>
          <w:sz w:val="24"/>
        </w:rPr>
        <w:t>二○二二年四月二日</w:t>
      </w:r>
      <w:r>
        <w:rPr>
          <w:rFonts w:hint="eastAsia" w:ascii="宋体" w:hAnsi="宋体"/>
          <w:color w:val="000000"/>
          <w:sz w:val="24"/>
          <w:szCs w:val="24"/>
        </w:rPr>
        <w:t>（委托书未明确，本次以实地查勘之日作为价值时点）</w:t>
      </w:r>
    </w:p>
    <w:p>
      <w:pPr>
        <w:pStyle w:val="5"/>
        <w:snapToGrid w:val="0"/>
        <w:spacing w:line="500" w:lineRule="exact"/>
        <w:ind w:left="0" w:firstLine="0"/>
        <w:rPr>
          <w:rFonts w:ascii="宋体"/>
          <w:b/>
          <w:color w:val="000000"/>
          <w:sz w:val="24"/>
        </w:rPr>
      </w:pPr>
      <w:r>
        <w:rPr>
          <w:rFonts w:hint="eastAsia" w:ascii="黑体" w:eastAsia="黑体"/>
          <w:b/>
          <w:bCs/>
          <w:color w:val="000000"/>
          <w:sz w:val="24"/>
        </w:rPr>
        <w:t>六、价值类型</w:t>
      </w:r>
    </w:p>
    <w:p>
      <w:pPr>
        <w:spacing w:line="500" w:lineRule="exact"/>
        <w:ind w:firstLine="472" w:firstLineChars="200"/>
        <w:rPr>
          <w:color w:val="000000"/>
          <w:spacing w:val="-2"/>
          <w:sz w:val="24"/>
        </w:rPr>
      </w:pPr>
      <w:r>
        <w:rPr>
          <w:color w:val="000000"/>
          <w:spacing w:val="-2"/>
          <w:sz w:val="24"/>
        </w:rPr>
        <w:t>1</w:t>
      </w:r>
      <w:r>
        <w:rPr>
          <w:rFonts w:hint="eastAsia"/>
          <w:color w:val="000000"/>
          <w:spacing w:val="-2"/>
          <w:sz w:val="24"/>
        </w:rPr>
        <w:t>、本估价结果是在本次价值时点、估价目的下得出的整体房地产市场价值，仅作为估价委托人确定财产处置参考价提供参考依据，不代表其实际成交价，其最终实际成交价应该以估价委托人根据相关程序进行拍卖成交时的最终结果为准。</w:t>
      </w:r>
    </w:p>
    <w:p>
      <w:pPr>
        <w:spacing w:line="500" w:lineRule="exact"/>
        <w:ind w:firstLine="472" w:firstLineChars="200"/>
        <w:rPr>
          <w:color w:val="000000"/>
          <w:spacing w:val="-2"/>
          <w:sz w:val="24"/>
        </w:rPr>
      </w:pPr>
      <w:r>
        <w:rPr>
          <w:rFonts w:hint="eastAsia"/>
          <w:color w:val="000000"/>
          <w:spacing w:val="-2"/>
          <w:sz w:val="24"/>
        </w:rPr>
        <w:t>市场价值是估价对象经适当营销后，由熟悉情况、谨慎行事且不受强迫的交易双方，以公平交易方式在价值时点自愿进行交易的金额。</w:t>
      </w:r>
    </w:p>
    <w:p>
      <w:pPr>
        <w:spacing w:line="500" w:lineRule="exact"/>
        <w:ind w:firstLine="472" w:firstLineChars="200"/>
        <w:rPr>
          <w:color w:val="000000"/>
          <w:spacing w:val="-2"/>
          <w:sz w:val="24"/>
        </w:rPr>
      </w:pPr>
      <w:r>
        <w:rPr>
          <w:color w:val="000000"/>
          <w:spacing w:val="-2"/>
          <w:sz w:val="24"/>
        </w:rPr>
        <w:t>2</w:t>
      </w:r>
      <w:r>
        <w:rPr>
          <w:rFonts w:hint="eastAsia"/>
          <w:color w:val="000000"/>
          <w:spacing w:val="-2"/>
          <w:sz w:val="24"/>
        </w:rPr>
        <w:t>、本次估价结果</w:t>
      </w:r>
      <w:r>
        <w:rPr>
          <w:rFonts w:hint="eastAsia"/>
          <w:color w:val="000000"/>
          <w:sz w:val="24"/>
        </w:rPr>
        <w:t>是按照法律法规规定、</w:t>
      </w:r>
      <w:r>
        <w:rPr>
          <w:rFonts w:hint="eastAsia"/>
          <w:color w:val="000000"/>
          <w:spacing w:val="-2"/>
          <w:sz w:val="24"/>
        </w:rPr>
        <w:t>以交易双方各自承担交易中发生的各项税费为前提，未考虑处置拍卖可能涉及的评估费、案件诉讼及执行费用、拍卖佣金、律师费及过户手续费等相关费用对估价结果的影响，未考虑评估增值带来的土地增值税的影响。</w:t>
      </w:r>
    </w:p>
    <w:p>
      <w:pPr>
        <w:spacing w:line="500" w:lineRule="exact"/>
        <w:ind w:firstLine="472" w:firstLineChars="200"/>
        <w:rPr>
          <w:color w:val="000000"/>
          <w:spacing w:val="-2"/>
          <w:sz w:val="24"/>
        </w:rPr>
      </w:pPr>
      <w:r>
        <w:rPr>
          <w:color w:val="000000"/>
          <w:spacing w:val="-2"/>
          <w:sz w:val="24"/>
        </w:rPr>
        <w:t>3</w:t>
      </w:r>
      <w:r>
        <w:rPr>
          <w:rFonts w:hint="eastAsia"/>
          <w:color w:val="000000"/>
          <w:spacing w:val="-2"/>
          <w:sz w:val="24"/>
        </w:rPr>
        <w:t>、本次估价未考虑估价对象本身查封、抵押、相邻权等权利限制对价值的影响。</w:t>
      </w:r>
    </w:p>
    <w:p>
      <w:pPr>
        <w:spacing w:line="500" w:lineRule="exact"/>
        <w:ind w:firstLine="472" w:firstLineChars="200"/>
        <w:rPr>
          <w:color w:val="000000"/>
          <w:spacing w:val="-2"/>
          <w:sz w:val="24"/>
        </w:rPr>
      </w:pPr>
      <w:r>
        <w:rPr>
          <w:color w:val="000000"/>
          <w:spacing w:val="-2"/>
          <w:sz w:val="24"/>
        </w:rPr>
        <w:t>4</w:t>
      </w:r>
      <w:r>
        <w:rPr>
          <w:rFonts w:hint="eastAsia"/>
          <w:color w:val="000000"/>
          <w:spacing w:val="-2"/>
          <w:sz w:val="24"/>
        </w:rPr>
        <w:t>、本估价结果反映的是估价对象房地产价值，包含了土地使用权价值、房屋固有的设施设备工程价值及室内不可剥离的装饰装修价值。实看估价对象宗地内有多种动产，因委托书未记载要求评估，经现场沟通不纳入估价范围，故本次估价范围不含室内可移动的动产。</w:t>
      </w:r>
    </w:p>
    <w:p>
      <w:pPr>
        <w:spacing w:line="500" w:lineRule="exact"/>
        <w:ind w:firstLine="472" w:firstLineChars="200"/>
        <w:rPr>
          <w:color w:val="000000"/>
          <w:spacing w:val="-2"/>
          <w:sz w:val="24"/>
        </w:rPr>
      </w:pPr>
      <w:r>
        <w:rPr>
          <w:color w:val="000000"/>
          <w:spacing w:val="-2"/>
          <w:sz w:val="24"/>
        </w:rPr>
        <w:t>5</w:t>
      </w:r>
      <w:r>
        <w:rPr>
          <w:rFonts w:hint="eastAsia"/>
          <w:color w:val="000000"/>
          <w:spacing w:val="-2"/>
          <w:sz w:val="24"/>
        </w:rPr>
        <w:t>、估价对象所在宗地为出让工业用地，使用权终止日期为</w:t>
      </w:r>
      <w:r>
        <w:rPr>
          <w:color w:val="000000"/>
          <w:spacing w:val="-2"/>
          <w:sz w:val="24"/>
        </w:rPr>
        <w:t>2049</w:t>
      </w:r>
      <w:r>
        <w:rPr>
          <w:rFonts w:hint="eastAsia"/>
          <w:color w:val="000000"/>
          <w:spacing w:val="-2"/>
          <w:sz w:val="24"/>
        </w:rPr>
        <w:t>年</w:t>
      </w:r>
      <w:r>
        <w:rPr>
          <w:color w:val="000000"/>
          <w:spacing w:val="-2"/>
          <w:sz w:val="24"/>
        </w:rPr>
        <w:t>5</w:t>
      </w:r>
      <w:r>
        <w:rPr>
          <w:rFonts w:hint="eastAsia"/>
          <w:color w:val="000000"/>
          <w:spacing w:val="-2"/>
          <w:sz w:val="24"/>
        </w:rPr>
        <w:t>月</w:t>
      </w:r>
      <w:r>
        <w:rPr>
          <w:color w:val="000000"/>
          <w:spacing w:val="-2"/>
          <w:sz w:val="24"/>
        </w:rPr>
        <w:t>30</w:t>
      </w:r>
      <w:r>
        <w:rPr>
          <w:rFonts w:hint="eastAsia"/>
          <w:color w:val="000000"/>
          <w:spacing w:val="-2"/>
          <w:sz w:val="24"/>
        </w:rPr>
        <w:t>日，至价值时点</w:t>
      </w:r>
      <w:r>
        <w:rPr>
          <w:color w:val="000000"/>
          <w:spacing w:val="-2"/>
          <w:sz w:val="24"/>
        </w:rPr>
        <w:t>2022</w:t>
      </w:r>
      <w:r>
        <w:rPr>
          <w:rFonts w:hint="eastAsia"/>
          <w:color w:val="000000"/>
          <w:spacing w:val="-2"/>
          <w:sz w:val="24"/>
        </w:rPr>
        <w:t>年</w:t>
      </w:r>
      <w:r>
        <w:rPr>
          <w:color w:val="000000"/>
          <w:spacing w:val="-2"/>
          <w:sz w:val="24"/>
        </w:rPr>
        <w:t>04</w:t>
      </w:r>
      <w:r>
        <w:rPr>
          <w:rFonts w:hint="eastAsia"/>
          <w:color w:val="000000"/>
          <w:spacing w:val="-2"/>
          <w:sz w:val="24"/>
        </w:rPr>
        <w:t>月</w:t>
      </w:r>
      <w:r>
        <w:rPr>
          <w:color w:val="000000"/>
          <w:spacing w:val="-2"/>
          <w:sz w:val="24"/>
        </w:rPr>
        <w:t>02</w:t>
      </w:r>
      <w:r>
        <w:rPr>
          <w:rFonts w:hint="eastAsia"/>
          <w:color w:val="000000"/>
          <w:spacing w:val="-2"/>
          <w:sz w:val="24"/>
        </w:rPr>
        <w:t>日剩余年限约</w:t>
      </w:r>
      <w:r>
        <w:rPr>
          <w:color w:val="000000"/>
          <w:spacing w:val="-2"/>
          <w:sz w:val="24"/>
        </w:rPr>
        <w:t>27.16</w:t>
      </w:r>
      <w:r>
        <w:rPr>
          <w:rFonts w:hint="eastAsia"/>
          <w:color w:val="000000"/>
          <w:spacing w:val="-2"/>
          <w:sz w:val="24"/>
        </w:rPr>
        <w:t>年。土地开发程度达到宗地外“六通”（通上水、通下水、通电、通讯、通气、通路），宗地内已建部分宗地内开发程度达到“六通一平”（通上水、通下水、通电、通气、通路、通讯及场地平整），路面已平整硬化。</w:t>
      </w:r>
    </w:p>
    <w:p>
      <w:pPr>
        <w:spacing w:line="500" w:lineRule="exact"/>
        <w:ind w:firstLine="472" w:firstLineChars="200"/>
        <w:rPr>
          <w:color w:val="000000"/>
          <w:spacing w:val="-2"/>
          <w:sz w:val="24"/>
        </w:rPr>
      </w:pPr>
      <w:r>
        <w:rPr>
          <w:color w:val="000000"/>
          <w:spacing w:val="-2"/>
          <w:sz w:val="24"/>
        </w:rPr>
        <w:t>6</w:t>
      </w:r>
      <w:r>
        <w:rPr>
          <w:rFonts w:hint="eastAsia"/>
          <w:color w:val="000000"/>
          <w:spacing w:val="-2"/>
          <w:sz w:val="24"/>
        </w:rPr>
        <w:t>、本次估价结果未考虑估价对象与北侧宗地相邻物业若整体处置、变现能力劣对价值的减值影响。</w:t>
      </w:r>
    </w:p>
    <w:p>
      <w:pPr>
        <w:spacing w:line="500" w:lineRule="exact"/>
        <w:ind w:firstLine="472" w:firstLineChars="200"/>
        <w:rPr>
          <w:color w:val="000000"/>
          <w:spacing w:val="-2"/>
          <w:sz w:val="24"/>
        </w:rPr>
      </w:pPr>
      <w:r>
        <w:rPr>
          <w:color w:val="000000"/>
          <w:spacing w:val="-2"/>
          <w:sz w:val="24"/>
        </w:rPr>
        <w:t>7</w:t>
      </w:r>
      <w:r>
        <w:rPr>
          <w:rFonts w:hint="eastAsia"/>
          <w:color w:val="000000"/>
          <w:spacing w:val="-2"/>
          <w:sz w:val="24"/>
        </w:rPr>
        <w:t>、</w:t>
      </w:r>
      <w:r>
        <w:rPr>
          <w:rFonts w:hint="eastAsia"/>
          <w:color w:val="000000"/>
          <w:sz w:val="24"/>
        </w:rPr>
        <w:t>本估价结果未考虑估价对象实际分类经营利用时在整体利用方式或整体处置对评估价格带来的影响。</w:t>
      </w:r>
    </w:p>
    <w:p>
      <w:pPr>
        <w:spacing w:line="500" w:lineRule="exact"/>
        <w:ind w:firstLine="472" w:firstLineChars="200"/>
        <w:rPr>
          <w:color w:val="000000"/>
          <w:spacing w:val="-2"/>
          <w:sz w:val="24"/>
        </w:rPr>
      </w:pPr>
      <w:r>
        <w:rPr>
          <w:color w:val="000000"/>
          <w:spacing w:val="-2"/>
          <w:sz w:val="24"/>
        </w:rPr>
        <w:t>8</w:t>
      </w:r>
      <w:r>
        <w:rPr>
          <w:rFonts w:hint="eastAsia"/>
          <w:color w:val="000000"/>
          <w:spacing w:val="-2"/>
          <w:sz w:val="24"/>
        </w:rPr>
        <w:t>、本估价结果没有考虑新冠疫情突发新增对估价对象未来房地产市场的影响。</w:t>
      </w:r>
    </w:p>
    <w:p>
      <w:pPr>
        <w:spacing w:line="500" w:lineRule="exact"/>
        <w:ind w:firstLine="472" w:firstLineChars="200"/>
        <w:rPr>
          <w:color w:val="000000"/>
          <w:spacing w:val="-2"/>
          <w:sz w:val="24"/>
        </w:rPr>
      </w:pPr>
      <w:r>
        <w:rPr>
          <w:color w:val="000000"/>
          <w:spacing w:val="-2"/>
          <w:sz w:val="24"/>
        </w:rPr>
        <w:t>9</w:t>
      </w:r>
      <w:r>
        <w:rPr>
          <w:rFonts w:hint="eastAsia"/>
          <w:color w:val="000000"/>
          <w:spacing w:val="-2"/>
          <w:sz w:val="24"/>
        </w:rPr>
        <w:t>、币种人民币，估价结果最终单价和总价均四舍五入保留至个位取整，其最终估价结果以《房地产市场价值估价结果汇总表》为准。</w:t>
      </w:r>
      <w:r>
        <w:rPr>
          <w:color w:val="000000"/>
          <w:spacing w:val="-2"/>
          <w:sz w:val="24"/>
        </w:rPr>
        <w:t xml:space="preserve"> </w:t>
      </w:r>
    </w:p>
    <w:p>
      <w:pPr>
        <w:spacing w:line="500" w:lineRule="exact"/>
        <w:ind w:firstLine="482" w:firstLineChars="200"/>
        <w:rPr>
          <w:rFonts w:ascii="宋体"/>
          <w:b/>
          <w:color w:val="000000"/>
          <w:sz w:val="24"/>
        </w:rPr>
      </w:pPr>
      <w:r>
        <w:rPr>
          <w:rFonts w:hint="eastAsia" w:ascii="黑体" w:eastAsia="黑体"/>
          <w:b/>
          <w:bCs/>
          <w:color w:val="000000"/>
          <w:sz w:val="24"/>
        </w:rPr>
        <w:t>七、估价原则</w:t>
      </w:r>
    </w:p>
    <w:p>
      <w:pPr>
        <w:pStyle w:val="5"/>
        <w:snapToGrid w:val="0"/>
        <w:spacing w:line="500" w:lineRule="exact"/>
        <w:ind w:left="0" w:firstLine="480"/>
        <w:rPr>
          <w:rFonts w:ascii="宋体"/>
          <w:color w:val="000000"/>
          <w:sz w:val="24"/>
        </w:rPr>
      </w:pPr>
      <w:r>
        <w:rPr>
          <w:rFonts w:hint="eastAsia" w:ascii="宋体"/>
          <w:color w:val="000000"/>
          <w:sz w:val="24"/>
        </w:rPr>
        <w:t>根据房地产估价规范及估价对象的具体状况，本次估价过程中，我们遵循的主要原则有：</w:t>
      </w:r>
    </w:p>
    <w:p>
      <w:pPr>
        <w:adjustRightInd w:val="0"/>
        <w:snapToGrid w:val="0"/>
        <w:spacing w:line="500" w:lineRule="exact"/>
        <w:ind w:firstLine="480" w:firstLineChars="200"/>
        <w:rPr>
          <w:color w:val="000000"/>
          <w:sz w:val="24"/>
          <w:szCs w:val="20"/>
        </w:rPr>
      </w:pPr>
      <w:r>
        <w:rPr>
          <w:color w:val="000000"/>
          <w:sz w:val="24"/>
          <w:szCs w:val="20"/>
        </w:rPr>
        <w:t>1</w:t>
      </w:r>
      <w:r>
        <w:rPr>
          <w:rFonts w:hint="eastAsia"/>
          <w:color w:val="000000"/>
          <w:sz w:val="24"/>
          <w:szCs w:val="20"/>
        </w:rPr>
        <w:t>、客观、独立、公正原则：要求站在中立的立场上，实事求是、公平正直地评估出对各方估价利害关系人均是公平合理的价值或价格的原则。</w:t>
      </w:r>
    </w:p>
    <w:p>
      <w:pPr>
        <w:pStyle w:val="5"/>
        <w:snapToGrid w:val="0"/>
        <w:spacing w:line="500" w:lineRule="exact"/>
        <w:ind w:left="450" w:firstLine="0"/>
        <w:outlineLvl w:val="0"/>
        <w:rPr>
          <w:color w:val="000000"/>
          <w:sz w:val="24"/>
        </w:rPr>
      </w:pPr>
      <w:r>
        <w:rPr>
          <w:color w:val="000000"/>
          <w:sz w:val="24"/>
        </w:rPr>
        <w:t>2</w:t>
      </w:r>
      <w:r>
        <w:rPr>
          <w:rFonts w:hint="eastAsia"/>
          <w:color w:val="000000"/>
          <w:sz w:val="24"/>
        </w:rPr>
        <w:t>、合法原则</w:t>
      </w:r>
    </w:p>
    <w:p>
      <w:pPr>
        <w:pStyle w:val="5"/>
        <w:snapToGrid w:val="0"/>
        <w:spacing w:line="500" w:lineRule="exact"/>
        <w:ind w:left="0" w:firstLine="480" w:firstLineChars="200"/>
        <w:rPr>
          <w:color w:val="000000"/>
          <w:sz w:val="24"/>
        </w:rPr>
      </w:pPr>
      <w:r>
        <w:rPr>
          <w:rFonts w:hint="eastAsia"/>
          <w:color w:val="000000"/>
          <w:sz w:val="24"/>
        </w:rPr>
        <w:t>要求估价结果是在依法判定的估价对象状况下的价值或价格的原则。本次估价以估价委托人提供的【（</w:t>
      </w:r>
      <w:r>
        <w:rPr>
          <w:color w:val="000000"/>
          <w:sz w:val="24"/>
        </w:rPr>
        <w:t>2021</w:t>
      </w:r>
      <w:r>
        <w:rPr>
          <w:rFonts w:hint="eastAsia"/>
          <w:color w:val="000000"/>
          <w:sz w:val="24"/>
        </w:rPr>
        <w:t>）川</w:t>
      </w:r>
      <w:r>
        <w:rPr>
          <w:color w:val="000000"/>
          <w:sz w:val="24"/>
        </w:rPr>
        <w:t>01</w:t>
      </w:r>
      <w:r>
        <w:rPr>
          <w:rFonts w:hint="eastAsia"/>
          <w:color w:val="000000"/>
          <w:sz w:val="24"/>
        </w:rPr>
        <w:t>执恢</w:t>
      </w:r>
      <w:r>
        <w:rPr>
          <w:color w:val="000000"/>
          <w:sz w:val="24"/>
        </w:rPr>
        <w:t>501</w:t>
      </w:r>
      <w:r>
        <w:rPr>
          <w:rFonts w:hint="eastAsia"/>
          <w:color w:val="000000"/>
          <w:sz w:val="24"/>
        </w:rPr>
        <w:t>号《四川省成都市中级人民法院委托书》】、【《房屋建筑面积测绘成果报告（建筑面积实测）》成勘测</w:t>
      </w:r>
      <w:r>
        <w:rPr>
          <w:color w:val="000000"/>
          <w:sz w:val="24"/>
        </w:rPr>
        <w:t>S2022-12466-1</w:t>
      </w:r>
      <w:r>
        <w:rPr>
          <w:rFonts w:hint="eastAsia"/>
          <w:color w:val="000000"/>
          <w:sz w:val="24"/>
        </w:rPr>
        <w:t>】以及被执行人提供的由估价委托人确认可采纳的估价对象的权属及规划资料（复印件）记载内容体现合法原则。</w:t>
      </w:r>
    </w:p>
    <w:p>
      <w:pPr>
        <w:pStyle w:val="5"/>
        <w:snapToGrid w:val="0"/>
        <w:spacing w:line="500" w:lineRule="exact"/>
        <w:ind w:left="0" w:firstLine="450"/>
        <w:outlineLvl w:val="0"/>
        <w:rPr>
          <w:rFonts w:ascii="宋体"/>
          <w:color w:val="000000"/>
          <w:sz w:val="24"/>
        </w:rPr>
      </w:pPr>
      <w:r>
        <w:rPr>
          <w:color w:val="000000"/>
          <w:sz w:val="24"/>
        </w:rPr>
        <w:t>3</w:t>
      </w:r>
      <w:r>
        <w:rPr>
          <w:rFonts w:hint="eastAsia"/>
          <w:color w:val="000000"/>
          <w:sz w:val="24"/>
        </w:rPr>
        <w:t>、</w:t>
      </w:r>
      <w:r>
        <w:rPr>
          <w:rFonts w:hint="eastAsia" w:ascii="宋体"/>
          <w:color w:val="000000"/>
          <w:sz w:val="24"/>
        </w:rPr>
        <w:t>最高最佳利用原则</w:t>
      </w:r>
    </w:p>
    <w:p>
      <w:pPr>
        <w:pStyle w:val="5"/>
        <w:snapToGrid w:val="0"/>
        <w:spacing w:line="500" w:lineRule="exact"/>
        <w:ind w:left="0" w:firstLine="450"/>
        <w:rPr>
          <w:rFonts w:ascii="宋体"/>
          <w:color w:val="000000"/>
          <w:sz w:val="24"/>
        </w:rPr>
      </w:pPr>
      <w:r>
        <w:rPr>
          <w:rFonts w:hint="eastAsia" w:ascii="宋体"/>
          <w:color w:val="000000"/>
          <w:sz w:val="24"/>
        </w:rPr>
        <w:t>要求估价结果是在估价对象最高最佳利用状况下的价值或价格的原则。</w:t>
      </w:r>
    </w:p>
    <w:p>
      <w:pPr>
        <w:pStyle w:val="5"/>
        <w:snapToGrid w:val="0"/>
        <w:spacing w:line="500" w:lineRule="exact"/>
        <w:ind w:left="0" w:firstLine="450"/>
        <w:rPr>
          <w:rFonts w:ascii="宋体"/>
          <w:color w:val="000000"/>
          <w:sz w:val="24"/>
        </w:rPr>
      </w:pPr>
      <w:r>
        <w:rPr>
          <w:rFonts w:hint="eastAsia" w:ascii="宋体"/>
          <w:color w:val="000000"/>
          <w:sz w:val="24"/>
        </w:rPr>
        <w:t>最高最佳利用，是估价对象的一种最可能的使用，这种最可能的使用是法律上允许、技术上可能、财务上可行，经过充分合理的论证，并能给估价对象带来最高价值的合理、可能的利用，包括最佳的用途、规模、档次。它的一种具体表现，是以使估价对象获利最多的用途和开发强度来衡量，也就是说，估价价格应是在合法使用方式下，各种可能的使用方式中，能获得最大收益的使用方式的估价结果，根据城市总体规划及估价对象现实的区位条件，我们认为估价对象的规划用途为其最佳用途，即本次估价以</w:t>
      </w:r>
      <w:r>
        <w:rPr>
          <w:rFonts w:hint="eastAsia"/>
          <w:color w:val="000000"/>
          <w:sz w:val="24"/>
        </w:rPr>
        <w:t>权属证明资料</w:t>
      </w:r>
      <w:r>
        <w:rPr>
          <w:rFonts w:hint="eastAsia" w:ascii="宋体"/>
          <w:color w:val="000000"/>
          <w:sz w:val="24"/>
        </w:rPr>
        <w:t>登载用途、并保持现状继续使用体现最高最佳利用原则。</w:t>
      </w:r>
    </w:p>
    <w:p>
      <w:pPr>
        <w:pStyle w:val="5"/>
        <w:snapToGrid w:val="0"/>
        <w:spacing w:line="500" w:lineRule="exact"/>
        <w:ind w:left="0" w:firstLine="450"/>
        <w:outlineLvl w:val="0"/>
        <w:rPr>
          <w:rFonts w:ascii="宋体"/>
          <w:color w:val="000000"/>
          <w:sz w:val="24"/>
        </w:rPr>
      </w:pPr>
      <w:r>
        <w:rPr>
          <w:rFonts w:ascii="宋体"/>
          <w:color w:val="000000"/>
          <w:sz w:val="24"/>
        </w:rPr>
        <w:t>4</w:t>
      </w:r>
      <w:r>
        <w:rPr>
          <w:rFonts w:hint="eastAsia" w:ascii="宋体"/>
          <w:color w:val="000000"/>
          <w:sz w:val="24"/>
        </w:rPr>
        <w:t>、替代原则</w:t>
      </w:r>
    </w:p>
    <w:p>
      <w:pPr>
        <w:pStyle w:val="5"/>
        <w:snapToGrid w:val="0"/>
        <w:spacing w:line="500" w:lineRule="exact"/>
        <w:ind w:left="0" w:firstLine="450"/>
        <w:rPr>
          <w:rFonts w:ascii="宋体"/>
          <w:color w:val="000000"/>
          <w:sz w:val="24"/>
        </w:rPr>
      </w:pPr>
      <w:r>
        <w:rPr>
          <w:rFonts w:hint="eastAsia" w:ascii="宋体"/>
          <w:color w:val="000000"/>
          <w:sz w:val="24"/>
        </w:rPr>
        <w:t>要求估价结果与估价对象的类似房地产在同等条件下的价值或价格偏差在合理范围内的原则。</w:t>
      </w:r>
    </w:p>
    <w:p>
      <w:pPr>
        <w:pStyle w:val="5"/>
        <w:snapToGrid w:val="0"/>
        <w:spacing w:line="500" w:lineRule="exact"/>
        <w:ind w:left="0" w:firstLine="450"/>
        <w:rPr>
          <w:rFonts w:ascii="宋体"/>
          <w:color w:val="000000"/>
          <w:sz w:val="24"/>
        </w:rPr>
      </w:pPr>
      <w:r>
        <w:rPr>
          <w:rFonts w:hint="eastAsia" w:ascii="宋体"/>
          <w:color w:val="000000"/>
          <w:sz w:val="24"/>
        </w:rPr>
        <w:t>根据经济学理论，在同一个市场中，具有相同的使用价值和质量的物品，在交易双方具有同等市场信息的基础上，应具有相似的价格，并在此价格基础上进行交易情况修正、交易时间修正、区域因素修正和个别因素修正。本次估价采用的估价方法体现了这一原则。</w:t>
      </w:r>
    </w:p>
    <w:p>
      <w:pPr>
        <w:snapToGrid w:val="0"/>
        <w:spacing w:line="500" w:lineRule="exact"/>
        <w:ind w:firstLine="480"/>
        <w:outlineLvl w:val="0"/>
        <w:rPr>
          <w:color w:val="000000"/>
          <w:sz w:val="24"/>
        </w:rPr>
      </w:pPr>
      <w:r>
        <w:rPr>
          <w:color w:val="000000"/>
          <w:sz w:val="24"/>
        </w:rPr>
        <w:t>5</w:t>
      </w:r>
      <w:r>
        <w:rPr>
          <w:rFonts w:hint="eastAsia"/>
          <w:color w:val="000000"/>
          <w:sz w:val="24"/>
        </w:rPr>
        <w:t>、价值时点原则</w:t>
      </w:r>
    </w:p>
    <w:p>
      <w:pPr>
        <w:snapToGrid w:val="0"/>
        <w:spacing w:line="500" w:lineRule="exact"/>
        <w:ind w:firstLine="480"/>
        <w:rPr>
          <w:color w:val="000000"/>
          <w:sz w:val="24"/>
        </w:rPr>
      </w:pPr>
      <w:r>
        <w:rPr>
          <w:rFonts w:hint="eastAsia"/>
          <w:color w:val="000000"/>
          <w:sz w:val="24"/>
        </w:rPr>
        <w:t>要求估价结果是在根据估价目的确定的某一特定时间的价值或价格的原则。</w:t>
      </w:r>
    </w:p>
    <w:p>
      <w:pPr>
        <w:snapToGrid w:val="0"/>
        <w:spacing w:line="500" w:lineRule="exact"/>
        <w:ind w:firstLine="480"/>
        <w:rPr>
          <w:rFonts w:ascii="宋体"/>
          <w:color w:val="000000"/>
          <w:sz w:val="24"/>
        </w:rPr>
      </w:pPr>
      <w:r>
        <w:rPr>
          <w:rFonts w:hint="eastAsia"/>
          <w:color w:val="000000"/>
          <w:sz w:val="24"/>
        </w:rPr>
        <w:t>估价实际上是求取估价对象在某一时点上的价格，所以在评估一宗房地产时，必须假定市场情况停止在价值时点上，同时估价对象房地产的状况通常也是以其在该时点时的状况为准。法院委托书未明确，故</w:t>
      </w:r>
      <w:r>
        <w:rPr>
          <w:rFonts w:hint="eastAsia" w:ascii="宋体"/>
          <w:color w:val="000000"/>
          <w:sz w:val="24"/>
        </w:rPr>
        <w:t>本次估价以实地查勘之日为价值时点。</w:t>
      </w:r>
    </w:p>
    <w:p>
      <w:pPr>
        <w:snapToGrid w:val="0"/>
        <w:spacing w:line="500" w:lineRule="exact"/>
        <w:ind w:firstLine="480" w:firstLineChars="200"/>
        <w:rPr>
          <w:color w:val="000000"/>
          <w:sz w:val="24"/>
        </w:rPr>
      </w:pPr>
      <w:r>
        <w:rPr>
          <w:rFonts w:hint="eastAsia"/>
          <w:color w:val="000000"/>
          <w:sz w:val="24"/>
        </w:rPr>
        <w:t>总之，在估价过程中，以国家有关法律、法规为依据，坚持真实性、科学性、公平性和可行性原则，做到估价过程合理，估价方法科学，估价结果准确，严格保守在估价过程中知悉的估价委托人的商业秘密。</w:t>
      </w:r>
    </w:p>
    <w:p>
      <w:pPr>
        <w:pStyle w:val="5"/>
        <w:snapToGrid w:val="0"/>
        <w:spacing w:line="500" w:lineRule="exact"/>
        <w:ind w:left="0" w:firstLine="0"/>
        <w:rPr>
          <w:rFonts w:ascii="宋体"/>
          <w:b/>
          <w:color w:val="000000"/>
          <w:sz w:val="24"/>
        </w:rPr>
      </w:pPr>
      <w:r>
        <w:rPr>
          <w:rFonts w:hint="eastAsia" w:ascii="黑体" w:eastAsia="黑体"/>
          <w:b/>
          <w:bCs/>
          <w:color w:val="000000"/>
          <w:sz w:val="24"/>
        </w:rPr>
        <w:t>八、估价依据</w:t>
      </w:r>
    </w:p>
    <w:p>
      <w:pPr>
        <w:snapToGrid w:val="0"/>
        <w:spacing w:line="500" w:lineRule="exact"/>
        <w:ind w:left="-479" w:leftChars="-228" w:firstLine="960" w:firstLineChars="400"/>
        <w:rPr>
          <w:color w:val="000000"/>
          <w:sz w:val="24"/>
        </w:rPr>
      </w:pPr>
      <w:r>
        <w:rPr>
          <w:color w:val="000000"/>
          <w:sz w:val="24"/>
        </w:rPr>
        <w:t>1</w:t>
      </w:r>
      <w:r>
        <w:rPr>
          <w:rFonts w:hint="eastAsia" w:hAnsi="宋体"/>
          <w:color w:val="000000"/>
          <w:sz w:val="24"/>
        </w:rPr>
        <w:t>、《中华人民共和国城市房地产管理法》（中华人民共和国主席令第</w:t>
      </w:r>
      <w:r>
        <w:rPr>
          <w:color w:val="000000"/>
          <w:sz w:val="24"/>
        </w:rPr>
        <w:t>72</w:t>
      </w:r>
      <w:r>
        <w:rPr>
          <w:rFonts w:hint="eastAsia" w:hAnsi="宋体"/>
          <w:color w:val="000000"/>
          <w:sz w:val="24"/>
        </w:rPr>
        <w:t>号）</w:t>
      </w:r>
    </w:p>
    <w:p>
      <w:pPr>
        <w:snapToGrid w:val="0"/>
        <w:spacing w:line="500" w:lineRule="exact"/>
        <w:ind w:left="-479" w:leftChars="-228" w:firstLine="960" w:firstLineChars="400"/>
        <w:rPr>
          <w:color w:val="000000"/>
          <w:sz w:val="24"/>
        </w:rPr>
      </w:pPr>
      <w:r>
        <w:rPr>
          <w:color w:val="000000"/>
          <w:sz w:val="24"/>
        </w:rPr>
        <w:t>2</w:t>
      </w:r>
      <w:r>
        <w:rPr>
          <w:rFonts w:hint="eastAsia" w:hAnsi="宋体"/>
          <w:color w:val="000000"/>
          <w:sz w:val="24"/>
        </w:rPr>
        <w:t>、《中华人民共和国土地管理法》（中华人民共和国主席令第</w:t>
      </w:r>
      <w:r>
        <w:rPr>
          <w:color w:val="000000"/>
          <w:sz w:val="24"/>
        </w:rPr>
        <w:t>28</w:t>
      </w:r>
      <w:r>
        <w:rPr>
          <w:rFonts w:hint="eastAsia" w:hAnsi="宋体"/>
          <w:color w:val="000000"/>
          <w:sz w:val="24"/>
        </w:rPr>
        <w:t>号）</w:t>
      </w:r>
    </w:p>
    <w:p>
      <w:pPr>
        <w:snapToGrid w:val="0"/>
        <w:spacing w:line="500" w:lineRule="exact"/>
        <w:ind w:left="-479" w:leftChars="-228" w:firstLine="960" w:firstLineChars="400"/>
        <w:rPr>
          <w:color w:val="000000"/>
          <w:sz w:val="24"/>
        </w:rPr>
      </w:pPr>
      <w:r>
        <w:rPr>
          <w:color w:val="000000"/>
          <w:sz w:val="24"/>
        </w:rPr>
        <w:t>3</w:t>
      </w:r>
      <w:r>
        <w:rPr>
          <w:rFonts w:hint="eastAsia" w:hAnsi="宋体"/>
          <w:color w:val="000000"/>
          <w:sz w:val="24"/>
        </w:rPr>
        <w:t>、《中华人民共和国土地管理法实施条例》（国务院令</w:t>
      </w:r>
      <w:r>
        <w:rPr>
          <w:color w:val="000000"/>
          <w:sz w:val="24"/>
        </w:rPr>
        <w:t>256</w:t>
      </w:r>
      <w:r>
        <w:rPr>
          <w:rFonts w:hint="eastAsia" w:hAnsi="宋体"/>
          <w:color w:val="000000"/>
          <w:sz w:val="24"/>
        </w:rPr>
        <w:t>号）</w:t>
      </w:r>
    </w:p>
    <w:p>
      <w:pPr>
        <w:snapToGrid w:val="0"/>
        <w:spacing w:line="500" w:lineRule="exact"/>
        <w:ind w:left="-479" w:leftChars="-228" w:firstLine="960" w:firstLineChars="400"/>
        <w:rPr>
          <w:color w:val="000000"/>
          <w:sz w:val="24"/>
        </w:rPr>
      </w:pPr>
      <w:r>
        <w:rPr>
          <w:color w:val="000000"/>
          <w:sz w:val="24"/>
        </w:rPr>
        <w:t>4</w:t>
      </w:r>
      <w:r>
        <w:rPr>
          <w:rFonts w:hint="eastAsia" w:hAnsi="宋体"/>
          <w:color w:val="000000"/>
          <w:sz w:val="24"/>
        </w:rPr>
        <w:t>、《中华人民共和国民法典》（中华人民共和国主席令第</w:t>
      </w:r>
      <w:r>
        <w:rPr>
          <w:color w:val="000000"/>
          <w:sz w:val="24"/>
        </w:rPr>
        <w:t>45</w:t>
      </w:r>
      <w:r>
        <w:rPr>
          <w:rFonts w:hint="eastAsia" w:hAnsi="宋体"/>
          <w:color w:val="000000"/>
          <w:sz w:val="24"/>
        </w:rPr>
        <w:t>号）</w:t>
      </w:r>
    </w:p>
    <w:p>
      <w:pPr>
        <w:snapToGrid w:val="0"/>
        <w:spacing w:line="500" w:lineRule="exact"/>
        <w:ind w:left="-479" w:leftChars="-228" w:firstLine="960" w:firstLineChars="400"/>
        <w:rPr>
          <w:color w:val="000000"/>
          <w:sz w:val="24"/>
        </w:rPr>
      </w:pPr>
      <w:r>
        <w:rPr>
          <w:color w:val="000000"/>
          <w:sz w:val="24"/>
        </w:rPr>
        <w:t>5</w:t>
      </w:r>
      <w:r>
        <w:rPr>
          <w:rFonts w:hint="eastAsia" w:hAnsi="宋体"/>
          <w:color w:val="000000"/>
          <w:sz w:val="24"/>
        </w:rPr>
        <w:t>、《中华人民共和国资产评估法》（中华人民共和国主席令第</w:t>
      </w:r>
      <w:r>
        <w:rPr>
          <w:color w:val="000000"/>
          <w:sz w:val="24"/>
        </w:rPr>
        <w:t>46</w:t>
      </w:r>
      <w:r>
        <w:rPr>
          <w:rFonts w:hint="eastAsia" w:hAnsi="宋体"/>
          <w:color w:val="000000"/>
          <w:sz w:val="24"/>
        </w:rPr>
        <w:t>号）</w:t>
      </w:r>
    </w:p>
    <w:p>
      <w:pPr>
        <w:pStyle w:val="5"/>
        <w:spacing w:line="500" w:lineRule="exact"/>
        <w:ind w:left="0" w:firstLine="476"/>
        <w:rPr>
          <w:color w:val="000000"/>
          <w:sz w:val="24"/>
        </w:rPr>
      </w:pPr>
      <w:r>
        <w:rPr>
          <w:color w:val="000000"/>
          <w:sz w:val="24"/>
        </w:rPr>
        <w:t>6</w:t>
      </w:r>
      <w:r>
        <w:rPr>
          <w:rFonts w:hint="eastAsia" w:hAnsi="宋体"/>
          <w:color w:val="000000"/>
          <w:sz w:val="24"/>
        </w:rPr>
        <w:t>、《司法鉴定程序通则》【司法部令第</w:t>
      </w:r>
      <w:r>
        <w:rPr>
          <w:color w:val="000000"/>
          <w:sz w:val="24"/>
        </w:rPr>
        <w:t>132</w:t>
      </w:r>
      <w:r>
        <w:rPr>
          <w:rFonts w:hint="eastAsia" w:hAnsi="宋体"/>
          <w:color w:val="000000"/>
          <w:sz w:val="24"/>
        </w:rPr>
        <w:t>号】</w:t>
      </w:r>
    </w:p>
    <w:p>
      <w:pPr>
        <w:pStyle w:val="5"/>
        <w:spacing w:line="500" w:lineRule="exact"/>
        <w:ind w:left="0" w:firstLine="476"/>
        <w:rPr>
          <w:color w:val="000000"/>
          <w:sz w:val="24"/>
        </w:rPr>
      </w:pPr>
      <w:r>
        <w:rPr>
          <w:color w:val="000000"/>
          <w:sz w:val="24"/>
        </w:rPr>
        <w:t>7</w:t>
      </w:r>
      <w:r>
        <w:rPr>
          <w:rFonts w:hint="eastAsia"/>
          <w:color w:val="000000"/>
          <w:sz w:val="24"/>
        </w:rPr>
        <w:t>、《关于依法规范人民法院执行和国土资源房地产管理部门协助执行若干问题的通知》</w:t>
      </w:r>
    </w:p>
    <w:p>
      <w:pPr>
        <w:pStyle w:val="5"/>
        <w:spacing w:line="500" w:lineRule="exact"/>
        <w:ind w:left="0" w:firstLine="476"/>
        <w:outlineLvl w:val="0"/>
        <w:rPr>
          <w:color w:val="000000"/>
          <w:sz w:val="24"/>
        </w:rPr>
      </w:pPr>
      <w:r>
        <w:rPr>
          <w:color w:val="000000"/>
          <w:sz w:val="24"/>
        </w:rPr>
        <w:t>8</w:t>
      </w:r>
      <w:r>
        <w:rPr>
          <w:rFonts w:hint="eastAsia"/>
          <w:color w:val="000000"/>
          <w:sz w:val="24"/>
        </w:rPr>
        <w:t>、《中华人民共和国刑事诉讼法》、《中华人民共和国民事诉讼法》、《中华人民共和国行政诉讼法》</w:t>
      </w:r>
    </w:p>
    <w:p>
      <w:pPr>
        <w:pStyle w:val="5"/>
        <w:spacing w:line="500" w:lineRule="exact"/>
        <w:ind w:left="0" w:firstLine="476"/>
        <w:rPr>
          <w:color w:val="000000"/>
          <w:sz w:val="24"/>
        </w:rPr>
      </w:pPr>
      <w:r>
        <w:rPr>
          <w:color w:val="000000"/>
          <w:sz w:val="24"/>
        </w:rPr>
        <w:t>9</w:t>
      </w:r>
      <w:r>
        <w:rPr>
          <w:rFonts w:hint="eastAsia"/>
          <w:color w:val="000000"/>
          <w:sz w:val="24"/>
        </w:rPr>
        <w:t>、《四川省高级人民法院对外委托鉴定管理办法（试行）》</w:t>
      </w:r>
    </w:p>
    <w:p>
      <w:pPr>
        <w:pStyle w:val="5"/>
        <w:spacing w:line="500" w:lineRule="exact"/>
        <w:ind w:left="0" w:firstLine="476"/>
        <w:outlineLvl w:val="0"/>
        <w:rPr>
          <w:color w:val="000000"/>
          <w:sz w:val="24"/>
        </w:rPr>
      </w:pPr>
      <w:r>
        <w:rPr>
          <w:color w:val="000000"/>
          <w:sz w:val="24"/>
        </w:rPr>
        <w:t>10</w:t>
      </w:r>
      <w:r>
        <w:rPr>
          <w:rFonts w:hint="eastAsia"/>
          <w:color w:val="000000"/>
          <w:sz w:val="24"/>
        </w:rPr>
        <w:t>、《四川省住房和城乡建设厅关于印发〈房地产司法鉴定评估指导意见〉（试行）的通知》（川建房发【</w:t>
      </w:r>
      <w:r>
        <w:rPr>
          <w:color w:val="000000"/>
          <w:sz w:val="24"/>
        </w:rPr>
        <w:t>2011</w:t>
      </w:r>
      <w:r>
        <w:rPr>
          <w:rFonts w:hint="eastAsia"/>
          <w:color w:val="000000"/>
          <w:sz w:val="24"/>
        </w:rPr>
        <w:t>】</w:t>
      </w:r>
      <w:r>
        <w:rPr>
          <w:color w:val="000000"/>
          <w:sz w:val="24"/>
        </w:rPr>
        <w:t>89</w:t>
      </w:r>
      <w:r>
        <w:rPr>
          <w:rFonts w:hint="eastAsia"/>
          <w:color w:val="000000"/>
          <w:sz w:val="24"/>
        </w:rPr>
        <w:t>号）</w:t>
      </w:r>
    </w:p>
    <w:p>
      <w:pPr>
        <w:pStyle w:val="5"/>
        <w:spacing w:line="500" w:lineRule="exact"/>
        <w:ind w:left="0" w:firstLine="476"/>
        <w:outlineLvl w:val="0"/>
        <w:rPr>
          <w:color w:val="000000"/>
          <w:sz w:val="24"/>
        </w:rPr>
      </w:pPr>
      <w:r>
        <w:rPr>
          <w:color w:val="000000"/>
          <w:sz w:val="24"/>
        </w:rPr>
        <w:t>11</w:t>
      </w:r>
      <w:r>
        <w:rPr>
          <w:rFonts w:hint="eastAsia"/>
          <w:color w:val="000000"/>
          <w:sz w:val="24"/>
        </w:rPr>
        <w:t>、《最高人民法院关于人民法院民事执行中拍卖、变卖财产的规定》、《最高人民法院关于人民法院确定财产处置参考价若干问题的规定》（法释〔</w:t>
      </w:r>
      <w:r>
        <w:rPr>
          <w:color w:val="000000"/>
          <w:sz w:val="24"/>
        </w:rPr>
        <w:t>2018</w:t>
      </w:r>
      <w:r>
        <w:rPr>
          <w:rFonts w:hint="eastAsia"/>
          <w:color w:val="000000"/>
          <w:sz w:val="24"/>
        </w:rPr>
        <w:t>〕</w:t>
      </w:r>
      <w:r>
        <w:rPr>
          <w:color w:val="000000"/>
          <w:sz w:val="24"/>
        </w:rPr>
        <w:t>15</w:t>
      </w:r>
      <w:r>
        <w:rPr>
          <w:rFonts w:hint="eastAsia"/>
          <w:color w:val="000000"/>
          <w:sz w:val="24"/>
        </w:rPr>
        <w:t>号）、《最高人民法院关于人民法院民事诉讼中委托鉴定审查工作若干问题的规定》</w:t>
      </w:r>
    </w:p>
    <w:p>
      <w:pPr>
        <w:pStyle w:val="5"/>
        <w:spacing w:line="500" w:lineRule="exact"/>
        <w:ind w:left="0" w:firstLine="476"/>
        <w:outlineLvl w:val="0"/>
        <w:rPr>
          <w:color w:val="000000"/>
          <w:sz w:val="24"/>
        </w:rPr>
      </w:pPr>
      <w:r>
        <w:rPr>
          <w:color w:val="000000"/>
          <w:sz w:val="24"/>
        </w:rPr>
        <w:t>12</w:t>
      </w:r>
      <w:r>
        <w:rPr>
          <w:rFonts w:hint="eastAsia"/>
          <w:color w:val="000000"/>
          <w:sz w:val="24"/>
        </w:rPr>
        <w:t>、</w:t>
      </w:r>
      <w:r>
        <w:rPr>
          <w:rFonts w:hint="eastAsia" w:ascii="宋体"/>
          <w:color w:val="000000"/>
          <w:sz w:val="24"/>
        </w:rPr>
        <w:t>《房地产估价规范》（</w:t>
      </w:r>
      <w:r>
        <w:rPr>
          <w:color w:val="000000"/>
          <w:sz w:val="24"/>
        </w:rPr>
        <w:t>GB/T50291—2015</w:t>
      </w:r>
      <w:r>
        <w:rPr>
          <w:rFonts w:hint="eastAsia" w:ascii="宋体"/>
          <w:color w:val="000000"/>
          <w:sz w:val="24"/>
        </w:rPr>
        <w:t>）、《房地产估价基本术语标准》</w:t>
      </w:r>
      <w:r>
        <w:rPr>
          <w:rFonts w:hint="eastAsia"/>
          <w:color w:val="000000"/>
          <w:sz w:val="24"/>
        </w:rPr>
        <w:t>（</w:t>
      </w:r>
      <w:r>
        <w:rPr>
          <w:color w:val="000000"/>
          <w:sz w:val="24"/>
        </w:rPr>
        <w:t>GB/T5089</w:t>
      </w:r>
      <w:r>
        <w:rPr>
          <w:rFonts w:ascii="宋体" w:hAnsi="宋体"/>
          <w:color w:val="000000"/>
          <w:sz w:val="24"/>
        </w:rPr>
        <w:t>9</w:t>
      </w:r>
      <w:r>
        <w:rPr>
          <w:rFonts w:hint="eastAsia" w:ascii="宋体" w:hAnsi="宋体"/>
          <w:color w:val="000000"/>
          <w:sz w:val="24"/>
        </w:rPr>
        <w:t>－</w:t>
      </w:r>
      <w:r>
        <w:rPr>
          <w:color w:val="000000"/>
          <w:sz w:val="24"/>
        </w:rPr>
        <w:t>2013</w:t>
      </w:r>
      <w:r>
        <w:rPr>
          <w:rFonts w:hint="eastAsia"/>
          <w:color w:val="000000"/>
          <w:sz w:val="24"/>
        </w:rPr>
        <w:t>）以及四川省建设厅及有关部门颁布的有关法规政策文件、</w:t>
      </w:r>
      <w:r>
        <w:rPr>
          <w:rFonts w:hint="eastAsia" w:ascii="宋体" w:hAnsi="宋体"/>
          <w:color w:val="000000"/>
          <w:sz w:val="24"/>
        </w:rPr>
        <w:t>《城镇土地估价规程》（</w:t>
      </w:r>
      <w:r>
        <w:rPr>
          <w:rFonts w:ascii="宋体" w:hAnsi="宋体"/>
          <w:color w:val="000000"/>
          <w:sz w:val="24"/>
        </w:rPr>
        <w:t>GB/T18508-2014</w:t>
      </w:r>
      <w:r>
        <w:rPr>
          <w:rFonts w:hint="eastAsia" w:ascii="宋体" w:hAnsi="宋体"/>
          <w:color w:val="000000"/>
          <w:sz w:val="24"/>
        </w:rPr>
        <w:t>）</w:t>
      </w:r>
    </w:p>
    <w:p>
      <w:pPr>
        <w:pStyle w:val="5"/>
        <w:spacing w:line="500" w:lineRule="exact"/>
        <w:ind w:left="0" w:firstLine="480"/>
        <w:outlineLvl w:val="0"/>
        <w:rPr>
          <w:color w:val="000000"/>
          <w:sz w:val="24"/>
        </w:rPr>
      </w:pPr>
      <w:r>
        <w:rPr>
          <w:color w:val="000000"/>
          <w:sz w:val="24"/>
        </w:rPr>
        <w:t>13</w:t>
      </w:r>
      <w:r>
        <w:rPr>
          <w:rFonts w:hint="eastAsia"/>
          <w:color w:val="000000"/>
          <w:sz w:val="24"/>
        </w:rPr>
        <w:t>、《涉执房地产处置司法评估指导意见（试行）》（中房学【</w:t>
      </w:r>
      <w:r>
        <w:rPr>
          <w:color w:val="000000"/>
          <w:sz w:val="24"/>
        </w:rPr>
        <w:t>2021</w:t>
      </w:r>
      <w:r>
        <w:rPr>
          <w:rFonts w:hint="eastAsia"/>
          <w:color w:val="000000"/>
          <w:sz w:val="24"/>
        </w:rPr>
        <w:t>】</w:t>
      </w:r>
      <w:r>
        <w:rPr>
          <w:color w:val="000000"/>
          <w:sz w:val="24"/>
        </w:rPr>
        <w:t>37</w:t>
      </w:r>
      <w:r>
        <w:rPr>
          <w:rFonts w:hint="eastAsia"/>
          <w:color w:val="000000"/>
          <w:sz w:val="24"/>
        </w:rPr>
        <w:t>号）</w:t>
      </w:r>
    </w:p>
    <w:p>
      <w:pPr>
        <w:pStyle w:val="5"/>
        <w:spacing w:line="500" w:lineRule="exact"/>
        <w:ind w:left="0" w:firstLine="476"/>
        <w:outlineLvl w:val="0"/>
        <w:rPr>
          <w:color w:val="000000"/>
          <w:sz w:val="24"/>
        </w:rPr>
      </w:pPr>
      <w:r>
        <w:rPr>
          <w:color w:val="000000"/>
          <w:sz w:val="24"/>
        </w:rPr>
        <w:t>14</w:t>
      </w:r>
      <w:r>
        <w:rPr>
          <w:rFonts w:hint="eastAsia"/>
          <w:color w:val="000000"/>
          <w:sz w:val="24"/>
        </w:rPr>
        <w:t>、（</w:t>
      </w:r>
      <w:r>
        <w:rPr>
          <w:color w:val="000000"/>
          <w:sz w:val="24"/>
        </w:rPr>
        <w:t>2021</w:t>
      </w:r>
      <w:r>
        <w:rPr>
          <w:rFonts w:hint="eastAsia"/>
          <w:color w:val="000000"/>
          <w:sz w:val="24"/>
        </w:rPr>
        <w:t>）川</w:t>
      </w:r>
      <w:r>
        <w:rPr>
          <w:color w:val="000000"/>
          <w:sz w:val="24"/>
        </w:rPr>
        <w:t>01</w:t>
      </w:r>
      <w:r>
        <w:rPr>
          <w:rFonts w:hint="eastAsia"/>
          <w:color w:val="000000"/>
          <w:sz w:val="24"/>
        </w:rPr>
        <w:t>执恢</w:t>
      </w:r>
      <w:r>
        <w:rPr>
          <w:color w:val="000000"/>
          <w:sz w:val="24"/>
        </w:rPr>
        <w:t>501</w:t>
      </w:r>
      <w:r>
        <w:rPr>
          <w:rFonts w:hint="eastAsia"/>
          <w:color w:val="000000"/>
          <w:sz w:val="24"/>
        </w:rPr>
        <w:t>号《四川省成都市中级人民法院委托书》原件</w:t>
      </w:r>
    </w:p>
    <w:p>
      <w:pPr>
        <w:pStyle w:val="5"/>
        <w:spacing w:line="500" w:lineRule="exact"/>
        <w:ind w:left="0" w:firstLine="476"/>
        <w:outlineLvl w:val="0"/>
        <w:rPr>
          <w:rFonts w:ascii="宋体"/>
          <w:color w:val="000000"/>
          <w:sz w:val="24"/>
          <w:szCs w:val="24"/>
        </w:rPr>
      </w:pPr>
      <w:r>
        <w:rPr>
          <w:color w:val="000000"/>
          <w:sz w:val="24"/>
        </w:rPr>
        <w:t>15</w:t>
      </w:r>
      <w:r>
        <w:rPr>
          <w:rFonts w:hint="eastAsia"/>
          <w:color w:val="000000"/>
          <w:sz w:val="24"/>
        </w:rPr>
        <w:t>、【《房屋建筑面积测绘成果报告（建筑面积实测）》成勘测</w:t>
      </w:r>
      <w:r>
        <w:rPr>
          <w:color w:val="000000"/>
          <w:sz w:val="24"/>
        </w:rPr>
        <w:t>S2022-12466-1</w:t>
      </w:r>
      <w:r>
        <w:rPr>
          <w:rFonts w:hint="eastAsia"/>
          <w:color w:val="000000"/>
          <w:sz w:val="24"/>
        </w:rPr>
        <w:t>】以及被执行人提供的由估价委托人确认可采纳的估价对象的权属及规划资料（复印件）</w:t>
      </w:r>
    </w:p>
    <w:p>
      <w:pPr>
        <w:pStyle w:val="27"/>
        <w:snapToGrid w:val="0"/>
        <w:spacing w:line="500" w:lineRule="exact"/>
        <w:ind w:left="0" w:firstLine="476"/>
        <w:rPr>
          <w:color w:val="000000"/>
          <w:sz w:val="24"/>
        </w:rPr>
      </w:pPr>
      <w:r>
        <w:rPr>
          <w:color w:val="000000"/>
          <w:sz w:val="24"/>
        </w:rPr>
        <w:t>16</w:t>
      </w:r>
      <w:r>
        <w:rPr>
          <w:rFonts w:hint="eastAsia"/>
          <w:color w:val="000000"/>
          <w:sz w:val="24"/>
        </w:rPr>
        <w:t>、估价人员实地查勘所得资料</w:t>
      </w:r>
    </w:p>
    <w:p>
      <w:pPr>
        <w:pStyle w:val="27"/>
        <w:snapToGrid w:val="0"/>
        <w:spacing w:line="500" w:lineRule="exact"/>
        <w:ind w:left="0" w:firstLine="480" w:firstLineChars="200"/>
        <w:rPr>
          <w:color w:val="000000"/>
          <w:sz w:val="24"/>
        </w:rPr>
      </w:pPr>
      <w:r>
        <w:rPr>
          <w:color w:val="000000"/>
          <w:sz w:val="24"/>
        </w:rPr>
        <w:t>17</w:t>
      </w:r>
      <w:r>
        <w:rPr>
          <w:rFonts w:hint="eastAsia"/>
          <w:color w:val="000000"/>
          <w:sz w:val="24"/>
        </w:rPr>
        <w:t>、</w:t>
      </w:r>
      <w:r>
        <w:rPr>
          <w:rFonts w:hint="eastAsia" w:ascii="宋体" w:hAnsi="宋体"/>
          <w:color w:val="000000"/>
          <w:sz w:val="24"/>
          <w:szCs w:val="24"/>
        </w:rPr>
        <w:t>成都市</w:t>
      </w:r>
      <w:r>
        <w:rPr>
          <w:rFonts w:hint="eastAsia"/>
          <w:color w:val="000000"/>
          <w:sz w:val="24"/>
        </w:rPr>
        <w:t>近期房地产市场交易、租赁资料及技术参数</w:t>
      </w:r>
    </w:p>
    <w:p>
      <w:pPr>
        <w:pStyle w:val="5"/>
        <w:snapToGrid w:val="0"/>
        <w:spacing w:line="520" w:lineRule="exact"/>
        <w:ind w:left="0" w:firstLine="0"/>
        <w:rPr>
          <w:rFonts w:ascii="宋体"/>
          <w:b/>
          <w:color w:val="000000"/>
          <w:sz w:val="24"/>
        </w:rPr>
      </w:pPr>
      <w:r>
        <w:rPr>
          <w:rFonts w:hint="eastAsia" w:ascii="黑体" w:eastAsia="黑体"/>
          <w:b/>
          <w:bCs/>
          <w:color w:val="000000"/>
          <w:sz w:val="24"/>
        </w:rPr>
        <w:t>九、估价方法</w:t>
      </w:r>
    </w:p>
    <w:p>
      <w:pPr>
        <w:pStyle w:val="5"/>
        <w:snapToGrid w:val="0"/>
        <w:spacing w:line="520" w:lineRule="exact"/>
        <w:ind w:left="418" w:leftChars="199" w:firstLine="0"/>
        <w:outlineLvl w:val="1"/>
        <w:rPr>
          <w:rFonts w:ascii="宋体"/>
          <w:b/>
          <w:color w:val="000000"/>
          <w:sz w:val="24"/>
        </w:rPr>
      </w:pPr>
      <w:r>
        <w:rPr>
          <w:rFonts w:hint="eastAsia" w:ascii="宋体" w:hAnsi="宋体"/>
          <w:b/>
          <w:bCs/>
          <w:color w:val="000000"/>
          <w:sz w:val="24"/>
        </w:rPr>
        <w:t>（一）估价方法的选择</w:t>
      </w:r>
    </w:p>
    <w:p>
      <w:pPr>
        <w:pStyle w:val="85"/>
        <w:spacing w:line="520" w:lineRule="exact"/>
        <w:ind w:firstLine="480" w:firstLineChars="200"/>
        <w:rPr>
          <w:rFonts w:ascii="宋体" w:hAnsi="宋体" w:eastAsia="宋体"/>
          <w:color w:val="000000"/>
          <w:sz w:val="24"/>
        </w:rPr>
      </w:pPr>
      <w:r>
        <w:rPr>
          <w:rFonts w:hint="eastAsia" w:ascii="宋体" w:hAnsi="宋体" w:eastAsia="宋体"/>
          <w:color w:val="000000"/>
          <w:sz w:val="24"/>
        </w:rPr>
        <w:t>根据《房地产估价规范》（</w:t>
      </w:r>
      <w:r>
        <w:rPr>
          <w:rFonts w:ascii="宋体" w:hAnsi="宋体" w:eastAsia="宋体"/>
          <w:color w:val="000000"/>
          <w:sz w:val="24"/>
        </w:rPr>
        <w:t>GB/T50291</w:t>
      </w:r>
      <w:r>
        <w:rPr>
          <w:rFonts w:hint="eastAsia" w:ascii="宋体" w:hAnsi="宋体" w:eastAsia="宋体"/>
          <w:color w:val="000000"/>
          <w:sz w:val="24"/>
        </w:rPr>
        <w:t>－</w:t>
      </w:r>
      <w:r>
        <w:rPr>
          <w:rFonts w:ascii="宋体" w:hAnsi="宋体" w:eastAsia="宋体"/>
          <w:color w:val="000000"/>
          <w:sz w:val="24"/>
        </w:rPr>
        <w:t>2015</w:t>
      </w:r>
      <w:r>
        <w:rPr>
          <w:rFonts w:hint="eastAsia" w:ascii="宋体" w:hAnsi="宋体" w:eastAsia="宋体"/>
          <w:color w:val="000000"/>
          <w:sz w:val="24"/>
        </w:rPr>
        <w:t>）及《城镇土地估价规程》（</w:t>
      </w:r>
      <w:r>
        <w:rPr>
          <w:rFonts w:ascii="宋体" w:hAnsi="宋体" w:eastAsia="宋体"/>
          <w:color w:val="000000"/>
          <w:sz w:val="24"/>
        </w:rPr>
        <w:t>GB/T18508-2014</w:t>
      </w:r>
      <w:r>
        <w:rPr>
          <w:rFonts w:hint="eastAsia" w:ascii="宋体" w:hAnsi="宋体" w:eastAsia="宋体"/>
          <w:color w:val="000000"/>
          <w:sz w:val="24"/>
        </w:rPr>
        <w:t>），通行的房地产价值评估方法有比较法、收益法、剩余法（假设开发法）、成本逼近法、基准地价系数修正法等，估价方法的选择应按照房地产价值评估技术规则，根据当地房地产市场发育状况，并结合该项目的具体特点（用途性质）以及估价目的等选择适当的估价方法。</w:t>
      </w:r>
    </w:p>
    <w:p>
      <w:pPr>
        <w:pStyle w:val="28"/>
        <w:spacing w:after="0" w:line="520" w:lineRule="exact"/>
        <w:ind w:left="0" w:firstLine="540" w:firstLineChars="225"/>
        <w:rPr>
          <w:rFonts w:ascii="宋体"/>
          <w:color w:val="000000"/>
          <w:sz w:val="24"/>
        </w:rPr>
      </w:pPr>
      <w:r>
        <w:rPr>
          <w:rFonts w:hint="eastAsia" w:ascii="宋体" w:hAnsi="宋体"/>
          <w:color w:val="000000"/>
          <w:sz w:val="24"/>
        </w:rPr>
        <w:t>根据估价对象现状和此次评估目的，本项目采用成本法、收益法分别进行估算。成本法的技术路径为房地分估，其中土地使用权采用基准地价系数修正法和成本逼近法测算，考虑到本次估价结果的具体应用行为相当于为买卖双方各自缴纳税费，评估结果中我们不考虑评估土地增值带来的土地增值税的影响；地面建筑物及其它分别采用重置成本法估算；再结合估价对象土地与建筑物的配比合适性确定估价对象成本法评估值。</w:t>
      </w:r>
      <w:r>
        <w:rPr>
          <w:rFonts w:hint="eastAsia" w:hAnsi="宋体"/>
          <w:color w:val="000000"/>
          <w:sz w:val="24"/>
          <w:szCs w:val="24"/>
          <w:lang w:val="zh-CN"/>
        </w:rPr>
        <w:t>结合估价对象实际用作经营的利用现状</w:t>
      </w:r>
      <w:r>
        <w:rPr>
          <w:rFonts w:hint="eastAsia" w:ascii="宋体" w:hAnsi="宋体" w:cs="宋体"/>
          <w:color w:val="000000"/>
          <w:sz w:val="24"/>
          <w:szCs w:val="24"/>
          <w:lang w:val="zh-CN"/>
        </w:rPr>
        <w:t>，依据类似房地产客观的租赁水平，</w:t>
      </w:r>
      <w:r>
        <w:rPr>
          <w:rFonts w:hint="eastAsia" w:hAnsi="宋体"/>
          <w:color w:val="000000"/>
          <w:sz w:val="24"/>
          <w:szCs w:val="24"/>
          <w:lang w:val="zh-CN"/>
        </w:rPr>
        <w:t>分</w:t>
      </w:r>
      <w:r>
        <w:rPr>
          <w:rFonts w:hint="eastAsia" w:ascii="宋体" w:hAnsi="宋体" w:cs="宋体"/>
          <w:color w:val="000000"/>
          <w:sz w:val="24"/>
          <w:szCs w:val="24"/>
          <w:lang w:val="zh-CN"/>
        </w:rPr>
        <w:t>类</w:t>
      </w:r>
      <w:r>
        <w:rPr>
          <w:rFonts w:hint="eastAsia" w:hAnsi="宋体"/>
          <w:color w:val="000000"/>
          <w:sz w:val="24"/>
          <w:szCs w:val="24"/>
          <w:lang w:val="zh-CN"/>
        </w:rPr>
        <w:t>别</w:t>
      </w:r>
      <w:r>
        <w:rPr>
          <w:rFonts w:hint="eastAsia" w:ascii="宋体" w:hAnsi="宋体" w:cs="宋体"/>
          <w:color w:val="000000"/>
          <w:sz w:val="24"/>
          <w:szCs w:val="24"/>
          <w:lang w:val="zh-CN"/>
        </w:rPr>
        <w:t>采用</w:t>
      </w:r>
      <w:r>
        <w:rPr>
          <w:rFonts w:hint="eastAsia" w:hAnsi="宋体"/>
          <w:color w:val="000000"/>
          <w:sz w:val="24"/>
          <w:szCs w:val="24"/>
          <w:lang w:val="zh-CN"/>
        </w:rPr>
        <w:t>收益法进行估算</w:t>
      </w:r>
      <w:r>
        <w:rPr>
          <w:rFonts w:hint="eastAsia" w:ascii="宋体" w:hAnsi="宋体" w:cs="宋体"/>
          <w:color w:val="000000"/>
          <w:sz w:val="24"/>
          <w:szCs w:val="24"/>
          <w:lang w:val="zh-CN"/>
        </w:rPr>
        <w:t>。最后综合两种方法的估算结果，经分析后确定最终估价结果。</w:t>
      </w:r>
    </w:p>
    <w:p>
      <w:pPr>
        <w:pStyle w:val="85"/>
        <w:spacing w:line="520" w:lineRule="exact"/>
        <w:outlineLvl w:val="0"/>
        <w:rPr>
          <w:rFonts w:ascii="宋体" w:hAnsi="宋体" w:eastAsia="宋体"/>
          <w:b/>
          <w:bCs/>
          <w:color w:val="000000"/>
          <w:sz w:val="24"/>
        </w:rPr>
      </w:pPr>
      <w:r>
        <w:rPr>
          <w:rFonts w:hint="eastAsia" w:ascii="宋体" w:hAnsi="宋体" w:eastAsia="宋体"/>
          <w:b/>
          <w:bCs/>
          <w:color w:val="000000"/>
          <w:sz w:val="24"/>
        </w:rPr>
        <w:t>（二）选择评估方法的依据</w:t>
      </w:r>
    </w:p>
    <w:p>
      <w:pPr>
        <w:pStyle w:val="85"/>
        <w:spacing w:line="520" w:lineRule="exact"/>
        <w:outlineLvl w:val="0"/>
        <w:rPr>
          <w:rFonts w:ascii="宋体" w:hAnsi="宋体" w:eastAsia="宋体"/>
          <w:color w:val="000000"/>
          <w:sz w:val="24"/>
        </w:rPr>
      </w:pPr>
      <w:r>
        <w:rPr>
          <w:rFonts w:hint="eastAsia" w:ascii="宋体" w:hAnsi="宋体" w:eastAsia="宋体"/>
          <w:color w:val="000000"/>
          <w:sz w:val="24"/>
        </w:rPr>
        <w:t>本次测算在估价方法的选择上，根据估价对象具体情况，列出各种估价方法的适用性分析，详见下表：</w:t>
      </w:r>
    </w:p>
    <w:tbl>
      <w:tblPr>
        <w:tblStyle w:val="35"/>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992"/>
        <w:gridCol w:w="6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估价方法</w:t>
            </w:r>
          </w:p>
        </w:tc>
        <w:tc>
          <w:tcPr>
            <w:tcW w:w="993"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理论上是否适用</w:t>
            </w:r>
          </w:p>
        </w:tc>
        <w:tc>
          <w:tcPr>
            <w:tcW w:w="992"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客观上是否适用</w:t>
            </w:r>
          </w:p>
        </w:tc>
        <w:tc>
          <w:tcPr>
            <w:tcW w:w="6061" w:type="dxa"/>
            <w:vAlign w:val="center"/>
          </w:tcPr>
          <w:p>
            <w:pPr>
              <w:pStyle w:val="11"/>
              <w:spacing w:line="280" w:lineRule="exact"/>
              <w:ind w:left="560"/>
              <w:rPr>
                <w:rFonts w:eastAsia="Times New Roman" w:cs="宋体"/>
                <w:color w:val="000000"/>
                <w:sz w:val="18"/>
                <w:szCs w:val="18"/>
              </w:rPr>
            </w:pPr>
            <w:r>
              <w:rPr>
                <w:rFonts w:hint="eastAsia" w:ascii="宋体" w:hAnsi="宋体" w:cs="宋体"/>
                <w:color w:val="000000"/>
                <w:sz w:val="18"/>
                <w:szCs w:val="18"/>
              </w:rPr>
              <w:t>选取</w:t>
            </w:r>
            <w:r>
              <w:rPr>
                <w:rFonts w:eastAsia="Times New Roman" w:cs="宋体"/>
                <w:color w:val="000000"/>
                <w:sz w:val="18"/>
                <w:szCs w:val="18"/>
              </w:rPr>
              <w:t>/</w:t>
            </w:r>
            <w:r>
              <w:rPr>
                <w:rFonts w:hint="eastAsia" w:ascii="宋体" w:hAnsi="宋体" w:cs="宋体"/>
                <w:color w:val="000000"/>
                <w:sz w:val="18"/>
                <w:szCs w:val="18"/>
              </w:rPr>
              <w:t>不选取的理由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比较法</w:t>
            </w:r>
          </w:p>
        </w:tc>
        <w:tc>
          <w:tcPr>
            <w:tcW w:w="993" w:type="dxa"/>
            <w:vAlign w:val="center"/>
          </w:tcPr>
          <w:p>
            <w:pPr>
              <w:pStyle w:val="11"/>
              <w:spacing w:line="280" w:lineRule="exact"/>
              <w:ind w:left="0" w:firstLine="180" w:firstLineChars="100"/>
              <w:rPr>
                <w:rFonts w:eastAsia="Times New Roman" w:cs="宋体"/>
                <w:color w:val="000000"/>
                <w:sz w:val="18"/>
                <w:szCs w:val="18"/>
              </w:rPr>
            </w:pPr>
            <w:r>
              <w:rPr>
                <w:rFonts w:hint="eastAsia" w:ascii="宋体" w:hAnsi="宋体" w:cs="宋体"/>
                <w:color w:val="000000"/>
                <w:sz w:val="18"/>
                <w:szCs w:val="18"/>
              </w:rPr>
              <w:t>适用</w:t>
            </w:r>
          </w:p>
        </w:tc>
        <w:tc>
          <w:tcPr>
            <w:tcW w:w="992"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不适用</w:t>
            </w:r>
          </w:p>
        </w:tc>
        <w:tc>
          <w:tcPr>
            <w:tcW w:w="6061"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适用于在同一供需圈内，市场成交较活跃的房地产估价。估价对象为一宗工业用地及地面无证建筑等整体房地产评估，同一区域或类似区域无同规模、同类型整体资产交易案例，而且整体工业用房地产的交易存在各自地面建筑物的容积率、适用性不一致的差异。同时目前也无完全无产业方向限制、无投资强度限制、超过</w:t>
            </w:r>
            <w:r>
              <w:rPr>
                <w:rFonts w:ascii="宋体" w:hAnsi="宋体" w:cs="宋体"/>
                <w:color w:val="000000"/>
                <w:sz w:val="18"/>
                <w:szCs w:val="18"/>
              </w:rPr>
              <w:t>20</w:t>
            </w:r>
            <w:r>
              <w:rPr>
                <w:rFonts w:hint="eastAsia" w:ascii="宋体" w:hAnsi="宋体" w:cs="宋体"/>
                <w:color w:val="000000"/>
                <w:sz w:val="18"/>
                <w:szCs w:val="18"/>
              </w:rPr>
              <w:t>年出让年期的土地使用权交易案例，故不宜采用比较法进行测算。但客观租金的确定选取了比较法。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收益法</w:t>
            </w:r>
          </w:p>
        </w:tc>
        <w:tc>
          <w:tcPr>
            <w:tcW w:w="993"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适用</w:t>
            </w:r>
          </w:p>
        </w:tc>
        <w:tc>
          <w:tcPr>
            <w:tcW w:w="992"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适用</w:t>
            </w:r>
          </w:p>
        </w:tc>
        <w:tc>
          <w:tcPr>
            <w:tcW w:w="6061"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适用于有收益的房地产估价。估价对象原为厂区，现整体已实际用于经营性停车、商业充电桩及配套，其配套的房屋及构筑物均为销售提供辅助，但未提供租赁合同，通过估价师市场调查，周边类似房地产租赁案例较丰富，符合收益法适用条件，故宜采用收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假设开发法</w:t>
            </w:r>
          </w:p>
        </w:tc>
        <w:tc>
          <w:tcPr>
            <w:tcW w:w="993"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不适用</w:t>
            </w:r>
          </w:p>
        </w:tc>
        <w:tc>
          <w:tcPr>
            <w:tcW w:w="992"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不适用</w:t>
            </w:r>
          </w:p>
        </w:tc>
        <w:tc>
          <w:tcPr>
            <w:tcW w:w="6061"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根据估价目的本次设定为保持现状持续使用，不考虑具备投资开发或再开发潜力，不符合假设开发法的适用范围；同时估价对象为建成房地产，符合城市规划设计，且根据估价目的，本次估价前提是维持现状使用，故其理论和实际操作均无法选用假设开发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成本法</w:t>
            </w:r>
          </w:p>
        </w:tc>
        <w:tc>
          <w:tcPr>
            <w:tcW w:w="993"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适用</w:t>
            </w:r>
          </w:p>
        </w:tc>
        <w:tc>
          <w:tcPr>
            <w:tcW w:w="992" w:type="dxa"/>
            <w:vAlign w:val="center"/>
          </w:tcPr>
          <w:p>
            <w:pPr>
              <w:pStyle w:val="11"/>
              <w:spacing w:line="280" w:lineRule="exact"/>
              <w:ind w:left="0"/>
              <w:rPr>
                <w:rFonts w:eastAsia="Times New Roman" w:cs="宋体"/>
                <w:color w:val="000000"/>
                <w:sz w:val="18"/>
                <w:szCs w:val="18"/>
              </w:rPr>
            </w:pPr>
            <w:r>
              <w:rPr>
                <w:rFonts w:hint="eastAsia" w:ascii="宋体" w:hAnsi="宋体" w:cs="宋体"/>
                <w:color w:val="000000"/>
                <w:sz w:val="18"/>
                <w:szCs w:val="18"/>
              </w:rPr>
              <w:t>适用</w:t>
            </w:r>
          </w:p>
        </w:tc>
        <w:tc>
          <w:tcPr>
            <w:tcW w:w="6061" w:type="dxa"/>
            <w:vAlign w:val="center"/>
          </w:tcPr>
          <w:p>
            <w:pPr>
              <w:pStyle w:val="11"/>
              <w:spacing w:line="280" w:lineRule="exact"/>
              <w:ind w:left="0"/>
              <w:rPr>
                <w:rFonts w:ascii="宋体" w:cs="宋体"/>
                <w:color w:val="000000"/>
                <w:sz w:val="18"/>
                <w:szCs w:val="18"/>
              </w:rPr>
            </w:pPr>
            <w:r>
              <w:rPr>
                <w:rFonts w:hint="eastAsia" w:ascii="宋体" w:hAnsi="宋体" w:cs="宋体"/>
                <w:color w:val="000000"/>
                <w:sz w:val="18"/>
                <w:szCs w:val="18"/>
              </w:rPr>
              <w:t>适用既无收益又很少发生交易的房地产估价。估价对象为工业用地及地上建筑物等整体房地产评估，土地使用权作为出让工业用地，地面大部分建筑物均已取得权证，无证建筑物为合理配套修建、均正常使用。土地取得成本及建筑物重置成本数据均易取得，从理论上和客观上均符合成本法条件，故可采用成本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vAlign w:val="center"/>
          </w:tcPr>
          <w:p>
            <w:pPr>
              <w:pStyle w:val="11"/>
              <w:spacing w:line="280" w:lineRule="exact"/>
              <w:ind w:left="0"/>
              <w:rPr>
                <w:rFonts w:ascii="宋体" w:cs="宋体"/>
                <w:color w:val="000000"/>
                <w:sz w:val="18"/>
                <w:szCs w:val="18"/>
              </w:rPr>
            </w:pPr>
            <w:r>
              <w:rPr>
                <w:rFonts w:hint="eastAsia" w:ascii="宋体" w:hAnsi="宋体" w:cs="宋体"/>
                <w:color w:val="000000"/>
                <w:sz w:val="18"/>
                <w:szCs w:val="18"/>
              </w:rPr>
              <w:t>基准地价系数修正法</w:t>
            </w:r>
          </w:p>
        </w:tc>
        <w:tc>
          <w:tcPr>
            <w:tcW w:w="993" w:type="dxa"/>
            <w:vAlign w:val="center"/>
          </w:tcPr>
          <w:p>
            <w:pPr>
              <w:pStyle w:val="11"/>
              <w:spacing w:line="280" w:lineRule="exact"/>
              <w:ind w:left="0"/>
              <w:rPr>
                <w:rFonts w:ascii="宋体" w:cs="宋体"/>
                <w:color w:val="000000"/>
                <w:sz w:val="18"/>
                <w:szCs w:val="18"/>
              </w:rPr>
            </w:pPr>
            <w:r>
              <w:rPr>
                <w:rFonts w:hint="eastAsia" w:ascii="宋体" w:hAnsi="宋体" w:cs="宋体"/>
                <w:color w:val="000000"/>
                <w:sz w:val="18"/>
                <w:szCs w:val="18"/>
              </w:rPr>
              <w:t>适用</w:t>
            </w:r>
          </w:p>
        </w:tc>
        <w:tc>
          <w:tcPr>
            <w:tcW w:w="992" w:type="dxa"/>
            <w:vAlign w:val="center"/>
          </w:tcPr>
          <w:p>
            <w:pPr>
              <w:pStyle w:val="11"/>
              <w:spacing w:line="280" w:lineRule="exact"/>
              <w:ind w:left="0"/>
              <w:rPr>
                <w:rFonts w:ascii="宋体" w:cs="宋体"/>
                <w:color w:val="000000"/>
                <w:sz w:val="18"/>
                <w:szCs w:val="18"/>
              </w:rPr>
            </w:pPr>
            <w:r>
              <w:rPr>
                <w:rFonts w:hint="eastAsia" w:ascii="宋体" w:hAnsi="宋体" w:cs="宋体"/>
                <w:color w:val="000000"/>
                <w:sz w:val="18"/>
                <w:szCs w:val="18"/>
              </w:rPr>
              <w:t>适用</w:t>
            </w:r>
          </w:p>
        </w:tc>
        <w:tc>
          <w:tcPr>
            <w:tcW w:w="6061" w:type="dxa"/>
            <w:vAlign w:val="center"/>
          </w:tcPr>
          <w:p>
            <w:pPr>
              <w:pStyle w:val="11"/>
              <w:spacing w:line="280" w:lineRule="exact"/>
              <w:ind w:left="0"/>
              <w:rPr>
                <w:rFonts w:ascii="宋体" w:cs="宋体"/>
                <w:color w:val="000000"/>
                <w:sz w:val="18"/>
                <w:szCs w:val="18"/>
              </w:rPr>
            </w:pPr>
            <w:r>
              <w:rPr>
                <w:rFonts w:hint="eastAsia" w:ascii="宋体" w:hAnsi="宋体" w:cs="宋体"/>
                <w:color w:val="000000"/>
                <w:sz w:val="18"/>
                <w:szCs w:val="18"/>
              </w:rPr>
              <w:t>估价对象的土地属于基准地价定级范围内，而估价对象工业用地属于基准地价定级范围，故适宜采用基准地价系数修正法。</w:t>
            </w:r>
          </w:p>
        </w:tc>
      </w:tr>
    </w:tbl>
    <w:p>
      <w:pPr>
        <w:pStyle w:val="11"/>
        <w:spacing w:line="500" w:lineRule="exact"/>
        <w:ind w:left="0" w:firstLine="480" w:firstLineChars="200"/>
        <w:rPr>
          <w:color w:val="000000"/>
          <w:sz w:val="24"/>
          <w:szCs w:val="24"/>
          <w:lang w:val="zh-CN"/>
        </w:rPr>
      </w:pPr>
      <w:r>
        <w:rPr>
          <w:rFonts w:hint="eastAsia" w:hAnsi="宋体"/>
          <w:color w:val="000000"/>
          <w:sz w:val="24"/>
          <w:szCs w:val="24"/>
          <w:lang w:val="zh-CN"/>
        </w:rPr>
        <w:t>综上所述，同时结合本次估价目的，考虑方法的可操作性，我们选用成本法（</w:t>
      </w:r>
      <w:r>
        <w:rPr>
          <w:rFonts w:hint="eastAsia"/>
          <w:color w:val="000000"/>
          <w:sz w:val="24"/>
          <w:szCs w:val="24"/>
        </w:rPr>
        <w:t>选用房地分估路径，</w:t>
      </w:r>
      <w:r>
        <w:rPr>
          <w:rFonts w:hint="eastAsia" w:hAnsi="宋体"/>
          <w:color w:val="000000"/>
          <w:sz w:val="24"/>
          <w:szCs w:val="24"/>
          <w:lang w:val="zh-CN"/>
        </w:rPr>
        <w:t>其中土地使用权采用基准地价系数修正法</w:t>
      </w:r>
      <w:r>
        <w:rPr>
          <w:rFonts w:hint="eastAsia"/>
          <w:color w:val="000000"/>
          <w:sz w:val="24"/>
          <w:szCs w:val="24"/>
          <w:lang w:val="zh-CN"/>
        </w:rPr>
        <w:t>和成本逼近法</w:t>
      </w:r>
      <w:r>
        <w:rPr>
          <w:rFonts w:hint="eastAsia" w:hAnsi="宋体"/>
          <w:color w:val="000000"/>
          <w:sz w:val="24"/>
          <w:szCs w:val="24"/>
          <w:lang w:val="zh-CN"/>
        </w:rPr>
        <w:t>估算，地上建筑物采用重置成本法估算）和收益法（结合估价对象实际用作经营的利用现状）进行分别进行估算，</w:t>
      </w:r>
      <w:r>
        <w:rPr>
          <w:rFonts w:hint="eastAsia"/>
          <w:color w:val="000000"/>
          <w:sz w:val="24"/>
          <w:szCs w:val="24"/>
          <w:lang w:val="zh-CN"/>
        </w:rPr>
        <w:t>最后综合确定估价结果。</w:t>
      </w:r>
    </w:p>
    <w:p>
      <w:pPr>
        <w:pStyle w:val="5"/>
        <w:snapToGrid w:val="0"/>
        <w:spacing w:line="500" w:lineRule="exact"/>
        <w:ind w:left="0" w:firstLine="472" w:firstLineChars="196"/>
        <w:outlineLvl w:val="1"/>
        <w:rPr>
          <w:rFonts w:ascii="宋体"/>
          <w:b/>
          <w:bCs/>
          <w:color w:val="000000"/>
          <w:sz w:val="24"/>
        </w:rPr>
      </w:pPr>
      <w:r>
        <w:rPr>
          <w:rFonts w:hint="eastAsia" w:ascii="宋体" w:hAnsi="宋体"/>
          <w:b/>
          <w:bCs/>
          <w:color w:val="000000"/>
          <w:sz w:val="24"/>
        </w:rPr>
        <w:t>（二）简要测算过程</w:t>
      </w:r>
    </w:p>
    <w:p>
      <w:pPr>
        <w:pStyle w:val="123"/>
        <w:numPr>
          <w:ilvl w:val="0"/>
          <w:numId w:val="2"/>
        </w:numPr>
        <w:spacing w:line="500" w:lineRule="exact"/>
        <w:ind w:left="0" w:firstLine="426" w:firstLineChars="0"/>
        <w:outlineLvl w:val="0"/>
        <w:rPr>
          <w:rFonts w:ascii="宋体" w:cs="宋体"/>
          <w:b/>
          <w:color w:val="000000"/>
          <w:sz w:val="24"/>
        </w:rPr>
      </w:pPr>
      <w:r>
        <w:rPr>
          <w:rFonts w:hint="eastAsia" w:ascii="宋体" w:cs="宋体"/>
          <w:b/>
          <w:color w:val="000000"/>
          <w:sz w:val="24"/>
        </w:rPr>
        <w:t>估价方法定义及公式</w:t>
      </w:r>
    </w:p>
    <w:p>
      <w:pPr>
        <w:pStyle w:val="85"/>
        <w:numPr>
          <w:ilvl w:val="0"/>
          <w:numId w:val="3"/>
        </w:numPr>
        <w:spacing w:line="500" w:lineRule="exact"/>
        <w:rPr>
          <w:rFonts w:ascii="宋体" w:hAnsi="宋体" w:eastAsia="宋体" w:cs="宋体"/>
          <w:color w:val="000000"/>
          <w:sz w:val="24"/>
          <w:szCs w:val="24"/>
        </w:rPr>
      </w:pPr>
      <w:r>
        <w:rPr>
          <w:rFonts w:hint="eastAsia" w:ascii="宋体" w:hAnsi="宋体" w:eastAsia="宋体" w:cs="宋体"/>
          <w:b/>
          <w:color w:val="000000"/>
          <w:sz w:val="24"/>
          <w:szCs w:val="24"/>
        </w:rPr>
        <w:t>基准地价系数修正法</w:t>
      </w:r>
    </w:p>
    <w:p>
      <w:pPr>
        <w:pStyle w:val="85"/>
        <w:spacing w:line="500" w:lineRule="exact"/>
        <w:rPr>
          <w:rFonts w:ascii="宋体" w:hAnsi="宋体" w:eastAsia="宋体" w:cs="宋体"/>
          <w:color w:val="000000"/>
          <w:sz w:val="24"/>
          <w:szCs w:val="24"/>
        </w:rPr>
      </w:pPr>
      <w:r>
        <w:rPr>
          <w:rFonts w:hint="eastAsia" w:ascii="宋体" w:hAnsi="宋体" w:eastAsia="宋体" w:cs="宋体"/>
          <w:color w:val="000000"/>
          <w:sz w:val="24"/>
          <w:szCs w:val="24"/>
        </w:rPr>
        <w:t>是利用城镇基准地价和基准地价修正因素系数表、修正因素指标说明表等估价成果，按照替代原则，就影响估价对象的区域因素和个别因素指标条件相比较，确定这些因素对地价影响程度的档次，对照修正系数表中对应的档次，确定每个影响地价因素的修正系数，用这些修正系数对基准地价进行修正。再根据基准地价估价期日、使用年期、他项权利状况、容积率、土地开发程度分别对估价对象的估价期日、使用年期、容积率、土地开发程度进行修正，进而求得估价对象在估价期日的土地使用权价值。</w:t>
      </w:r>
    </w:p>
    <w:p>
      <w:pPr>
        <w:pStyle w:val="85"/>
        <w:spacing w:line="5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计算公式为：</w:t>
      </w:r>
    </w:p>
    <w:p>
      <w:pPr>
        <w:pStyle w:val="85"/>
        <w:spacing w:line="500" w:lineRule="exact"/>
        <w:rPr>
          <w:rFonts w:ascii="宋体" w:hAnsi="宋体" w:eastAsia="宋体" w:cs="宋体"/>
          <w:color w:val="000000"/>
          <w:sz w:val="24"/>
          <w:szCs w:val="24"/>
          <w:lang w:val="de-DE"/>
        </w:rPr>
      </w:pPr>
      <w:r>
        <w:rPr>
          <w:rFonts w:ascii="宋体" w:hAnsi="宋体" w:eastAsia="宋体" w:cs="宋体"/>
          <w:color w:val="000000"/>
          <w:sz w:val="24"/>
          <w:szCs w:val="24"/>
          <w:lang w:val="de-DE"/>
        </w:rPr>
        <w:t>P1 = P</w:t>
      </w:r>
      <w:r>
        <w:rPr>
          <w:rFonts w:hint="eastAsia" w:ascii="宋体" w:hAnsi="宋体" w:eastAsia="宋体" w:cs="宋体"/>
          <w:color w:val="000000"/>
          <w:sz w:val="24"/>
          <w:szCs w:val="24"/>
          <w:lang w:val="de-DE"/>
        </w:rPr>
        <w:t>×（</w:t>
      </w:r>
      <w:r>
        <w:rPr>
          <w:rFonts w:ascii="宋体" w:hAnsi="宋体" w:eastAsia="宋体" w:cs="宋体"/>
          <w:color w:val="000000"/>
          <w:sz w:val="24"/>
          <w:szCs w:val="24"/>
          <w:lang w:val="de-DE"/>
        </w:rPr>
        <w:t>1</w:t>
      </w:r>
      <w:r>
        <w:rPr>
          <w:rFonts w:hint="eastAsia" w:ascii="宋体" w:hAnsi="宋体" w:eastAsia="宋体" w:cs="宋体"/>
          <w:color w:val="000000"/>
          <w:sz w:val="24"/>
          <w:szCs w:val="24"/>
          <w:lang w:val="de-DE"/>
        </w:rPr>
        <w:t>±</w:t>
      </w:r>
      <w:r>
        <w:rPr>
          <w:rFonts w:ascii="宋体" w:hAnsi="宋体" w:eastAsia="宋体" w:cs="宋体"/>
          <w:color w:val="000000"/>
          <w:sz w:val="24"/>
          <w:szCs w:val="24"/>
          <w:lang w:val="de-DE"/>
        </w:rPr>
        <w:t>K</w:t>
      </w:r>
      <w:r>
        <w:rPr>
          <w:rFonts w:hint="eastAsia" w:ascii="宋体" w:hAnsi="宋体" w:eastAsia="宋体" w:cs="宋体"/>
          <w:color w:val="000000"/>
          <w:sz w:val="24"/>
          <w:szCs w:val="24"/>
          <w:lang w:val="de-DE"/>
        </w:rPr>
        <w:t>）×</w:t>
      </w:r>
      <w:r>
        <w:rPr>
          <w:rFonts w:ascii="宋体" w:hAnsi="宋体" w:eastAsia="宋体" w:cs="宋体"/>
          <w:color w:val="000000"/>
          <w:sz w:val="24"/>
          <w:szCs w:val="24"/>
          <w:lang w:val="de-DE"/>
        </w:rPr>
        <w:t>Y</w:t>
      </w:r>
      <w:r>
        <w:rPr>
          <w:rFonts w:hint="eastAsia" w:ascii="宋体" w:hAnsi="宋体" w:eastAsia="宋体" w:cs="宋体"/>
          <w:color w:val="000000"/>
          <w:sz w:val="24"/>
          <w:szCs w:val="24"/>
          <w:lang w:val="de-DE"/>
        </w:rPr>
        <w:t>×</w:t>
      </w:r>
      <w:r>
        <w:rPr>
          <w:rFonts w:ascii="宋体" w:hAnsi="宋体" w:eastAsia="宋体" w:cs="宋体"/>
          <w:color w:val="000000"/>
          <w:sz w:val="24"/>
          <w:szCs w:val="24"/>
          <w:lang w:val="de-DE"/>
        </w:rPr>
        <w:t>T</w:t>
      </w:r>
      <w:r>
        <w:rPr>
          <w:rFonts w:hint="eastAsia" w:ascii="宋体" w:hAnsi="宋体" w:eastAsia="宋体" w:cs="宋体"/>
          <w:color w:val="000000"/>
          <w:sz w:val="24"/>
          <w:szCs w:val="24"/>
          <w:lang w:val="de-DE"/>
        </w:rPr>
        <w:t>×</w:t>
      </w:r>
      <w:r>
        <w:rPr>
          <w:rFonts w:ascii="宋体" w:hAnsi="宋体" w:eastAsia="宋体" w:cs="宋体"/>
          <w:color w:val="000000"/>
          <w:sz w:val="24"/>
          <w:szCs w:val="24"/>
          <w:lang w:val="de-DE"/>
        </w:rPr>
        <w:t>D</w:t>
      </w:r>
      <w:r>
        <w:rPr>
          <w:rFonts w:hint="eastAsia" w:ascii="宋体" w:hAnsi="宋体" w:eastAsia="宋体" w:cs="宋体"/>
          <w:color w:val="000000"/>
          <w:sz w:val="24"/>
          <w:szCs w:val="24"/>
          <w:lang w:val="de-DE"/>
        </w:rPr>
        <w:t>±</w:t>
      </w:r>
      <w:r>
        <w:rPr>
          <w:rFonts w:ascii="宋体" w:hAnsi="宋体" w:eastAsia="宋体" w:cs="宋体"/>
          <w:color w:val="000000"/>
          <w:sz w:val="24"/>
          <w:szCs w:val="24"/>
          <w:lang w:val="de-DE"/>
        </w:rPr>
        <w:t xml:space="preserve">L                  </w:t>
      </w:r>
    </w:p>
    <w:p>
      <w:pPr>
        <w:spacing w:line="500" w:lineRule="exact"/>
        <w:ind w:firstLine="480" w:firstLineChars="200"/>
        <w:rPr>
          <w:rFonts w:ascii="宋体" w:cs="宋体"/>
          <w:color w:val="000000"/>
          <w:sz w:val="24"/>
        </w:rPr>
      </w:pPr>
      <w:r>
        <w:rPr>
          <w:rFonts w:hint="eastAsia" w:ascii="宋体" w:cs="宋体"/>
          <w:color w:val="000000"/>
          <w:sz w:val="24"/>
        </w:rPr>
        <w:t>式中：</w:t>
      </w:r>
      <w:r>
        <w:rPr>
          <w:rFonts w:ascii="宋体" w:hAnsi="宋体" w:cs="宋体"/>
          <w:color w:val="000000"/>
          <w:sz w:val="24"/>
        </w:rPr>
        <w:t>P1—</w:t>
      </w:r>
      <w:r>
        <w:rPr>
          <w:rFonts w:hint="eastAsia" w:ascii="宋体" w:hAnsi="宋体" w:cs="宋体"/>
          <w:color w:val="000000"/>
          <w:sz w:val="24"/>
        </w:rPr>
        <w:t>估价对象地价</w:t>
      </w:r>
    </w:p>
    <w:p>
      <w:pPr>
        <w:spacing w:line="500" w:lineRule="exact"/>
        <w:ind w:firstLine="480" w:firstLineChars="200"/>
        <w:rPr>
          <w:rFonts w:ascii="宋体" w:cs="宋体"/>
          <w:color w:val="000000"/>
          <w:sz w:val="24"/>
        </w:rPr>
      </w:pPr>
      <w:r>
        <w:rPr>
          <w:rFonts w:ascii="宋体" w:hAnsi="宋体" w:cs="宋体"/>
          <w:color w:val="000000"/>
          <w:sz w:val="24"/>
        </w:rPr>
        <w:t xml:space="preserve">      P---</w:t>
      </w:r>
      <w:r>
        <w:rPr>
          <w:rFonts w:hint="eastAsia" w:ascii="宋体" w:hAnsi="宋体" w:cs="宋体"/>
          <w:color w:val="000000"/>
          <w:sz w:val="24"/>
        </w:rPr>
        <w:t>基准地价</w:t>
      </w:r>
    </w:p>
    <w:p>
      <w:pPr>
        <w:spacing w:line="500" w:lineRule="exact"/>
        <w:ind w:firstLine="480" w:firstLineChars="200"/>
        <w:rPr>
          <w:rFonts w:ascii="宋体" w:cs="宋体"/>
          <w:color w:val="000000"/>
          <w:sz w:val="24"/>
        </w:rPr>
      </w:pPr>
      <w:r>
        <w:rPr>
          <w:rFonts w:ascii="宋体" w:hAnsi="宋体" w:cs="宋体"/>
          <w:color w:val="000000"/>
          <w:sz w:val="24"/>
        </w:rPr>
        <w:t xml:space="preserve">      T—</w:t>
      </w:r>
      <w:r>
        <w:rPr>
          <w:rFonts w:hint="eastAsia" w:ascii="宋体" w:hAnsi="宋体" w:cs="宋体"/>
          <w:color w:val="000000"/>
          <w:sz w:val="24"/>
        </w:rPr>
        <w:t>期日修正系数</w:t>
      </w:r>
    </w:p>
    <w:p>
      <w:pPr>
        <w:spacing w:line="500" w:lineRule="exact"/>
        <w:ind w:firstLine="480" w:firstLineChars="200"/>
        <w:rPr>
          <w:rFonts w:ascii="宋体" w:cs="宋体"/>
          <w:color w:val="000000"/>
          <w:sz w:val="24"/>
        </w:rPr>
      </w:pPr>
      <w:r>
        <w:rPr>
          <w:rFonts w:ascii="宋体" w:hAnsi="宋体" w:cs="宋体"/>
          <w:color w:val="000000"/>
          <w:sz w:val="24"/>
        </w:rPr>
        <w:t xml:space="preserve">      K—</w:t>
      </w:r>
      <w:r>
        <w:rPr>
          <w:rFonts w:hint="eastAsia" w:ascii="宋体" w:hAnsi="宋体" w:cs="宋体"/>
          <w:color w:val="000000"/>
          <w:sz w:val="24"/>
        </w:rPr>
        <w:t>基准地价修正系数</w:t>
      </w:r>
    </w:p>
    <w:p>
      <w:pPr>
        <w:spacing w:line="500" w:lineRule="exact"/>
        <w:ind w:firstLine="480" w:firstLineChars="200"/>
        <w:rPr>
          <w:rFonts w:ascii="宋体" w:cs="宋体"/>
          <w:color w:val="000000"/>
          <w:sz w:val="24"/>
        </w:rPr>
      </w:pPr>
      <w:r>
        <w:rPr>
          <w:rFonts w:ascii="宋体" w:hAnsi="宋体" w:cs="宋体"/>
          <w:color w:val="000000"/>
          <w:sz w:val="24"/>
        </w:rPr>
        <w:t xml:space="preserve">      Y—</w:t>
      </w:r>
      <w:r>
        <w:rPr>
          <w:rFonts w:hint="eastAsia" w:ascii="宋体" w:hAnsi="宋体" w:cs="宋体"/>
          <w:color w:val="000000"/>
          <w:sz w:val="24"/>
        </w:rPr>
        <w:t>年期修正系数</w:t>
      </w:r>
      <w:r>
        <w:rPr>
          <w:rFonts w:ascii="宋体" w:hAnsi="宋体" w:cs="宋体"/>
          <w:color w:val="000000"/>
          <w:sz w:val="24"/>
        </w:rPr>
        <w:t xml:space="preserve">      </w:t>
      </w:r>
    </w:p>
    <w:p>
      <w:pPr>
        <w:spacing w:line="500" w:lineRule="exact"/>
        <w:ind w:firstLine="480" w:firstLineChars="200"/>
        <w:rPr>
          <w:rFonts w:ascii="宋体" w:cs="宋体"/>
          <w:color w:val="000000"/>
          <w:sz w:val="24"/>
        </w:rPr>
      </w:pPr>
      <w:r>
        <w:rPr>
          <w:rFonts w:ascii="宋体" w:hAnsi="宋体" w:cs="宋体"/>
          <w:color w:val="000000"/>
          <w:sz w:val="24"/>
        </w:rPr>
        <w:t xml:space="preserve">      D—</w:t>
      </w:r>
      <w:r>
        <w:rPr>
          <w:rFonts w:hint="eastAsia" w:ascii="宋体" w:hAnsi="宋体" w:cs="宋体"/>
          <w:color w:val="000000"/>
          <w:sz w:val="24"/>
        </w:rPr>
        <w:t>容积率修正系数</w:t>
      </w:r>
    </w:p>
    <w:p>
      <w:pPr>
        <w:spacing w:line="500" w:lineRule="exact"/>
        <w:ind w:firstLine="570"/>
        <w:outlineLvl w:val="0"/>
        <w:rPr>
          <w:rFonts w:ascii="宋体" w:cs="宋体"/>
          <w:color w:val="000000"/>
          <w:sz w:val="24"/>
        </w:rPr>
      </w:pPr>
      <w:r>
        <w:rPr>
          <w:rFonts w:ascii="宋体" w:hAnsi="宋体" w:cs="宋体"/>
          <w:color w:val="000000"/>
          <w:sz w:val="24"/>
        </w:rPr>
        <w:t xml:space="preserve">      L—</w:t>
      </w:r>
      <w:r>
        <w:rPr>
          <w:rFonts w:hint="eastAsia" w:ascii="宋体" w:hAnsi="宋体" w:cs="宋体"/>
          <w:color w:val="000000"/>
          <w:sz w:val="24"/>
        </w:rPr>
        <w:t>土地开发程度修正值</w:t>
      </w:r>
    </w:p>
    <w:p>
      <w:pPr>
        <w:autoSpaceDE w:val="0"/>
        <w:autoSpaceDN w:val="0"/>
        <w:adjustRightInd w:val="0"/>
        <w:spacing w:line="500" w:lineRule="exact"/>
        <w:ind w:firstLine="600" w:firstLineChars="250"/>
        <w:rPr>
          <w:rFonts w:ascii="宋体" w:cs="宋体"/>
          <w:color w:val="000000"/>
          <w:kern w:val="0"/>
          <w:sz w:val="24"/>
        </w:rPr>
      </w:pPr>
      <w:r>
        <w:rPr>
          <w:rFonts w:hint="eastAsia" w:ascii="宋体" w:hAnsi="宋体" w:cs="宋体"/>
          <w:color w:val="000000"/>
          <w:sz w:val="24"/>
        </w:rPr>
        <w:t>（</w:t>
      </w:r>
      <w:r>
        <w:rPr>
          <w:rFonts w:ascii="宋体" w:hAnsi="宋体" w:cs="宋体"/>
          <w:color w:val="000000"/>
          <w:sz w:val="24"/>
        </w:rPr>
        <w:t>2</w:t>
      </w:r>
      <w:r>
        <w:rPr>
          <w:rFonts w:hint="eastAsia" w:ascii="宋体" w:hAnsi="宋体" w:cs="宋体"/>
          <w:color w:val="000000"/>
          <w:sz w:val="24"/>
        </w:rPr>
        <w:t>）</w:t>
      </w:r>
      <w:r>
        <w:rPr>
          <w:rFonts w:hint="eastAsia" w:ascii="宋体" w:cs="宋体"/>
          <w:color w:val="000000"/>
          <w:kern w:val="0"/>
          <w:sz w:val="24"/>
        </w:rPr>
        <w:t>成本逼近法</w:t>
      </w:r>
    </w:p>
    <w:p>
      <w:pPr>
        <w:autoSpaceDE w:val="0"/>
        <w:autoSpaceDN w:val="0"/>
        <w:adjustRightInd w:val="0"/>
        <w:spacing w:line="500" w:lineRule="exact"/>
        <w:ind w:firstLine="600" w:firstLineChars="250"/>
        <w:rPr>
          <w:rFonts w:ascii="宋体"/>
          <w:color w:val="000000"/>
          <w:sz w:val="24"/>
        </w:rPr>
      </w:pPr>
      <w:r>
        <w:rPr>
          <w:rFonts w:hint="eastAsia" w:ascii="宋体"/>
          <w:color w:val="000000"/>
          <w:sz w:val="24"/>
        </w:rPr>
        <w:t>是把对土地的所有投资，包括土地取得费和基础设施开发费两大部分作为基本成本，运用经济学等量资金应获取等量收益的投资原理，加上基本成本这一投资所应支付的相关利息和产生的相应利润，组成土地价格的基础部分，并同时根据国家对土地所有权在经济上得到实现的需要，再加上土地所有权应得的收益（土地增值收益），从而求得土地价格。</w:t>
      </w:r>
    </w:p>
    <w:p>
      <w:pPr>
        <w:pStyle w:val="85"/>
        <w:spacing w:line="500" w:lineRule="exact"/>
        <w:rPr>
          <w:rFonts w:ascii="宋体" w:eastAsia="宋体" w:cs="宋体"/>
          <w:color w:val="000000"/>
          <w:kern w:val="0"/>
          <w:sz w:val="24"/>
          <w:szCs w:val="24"/>
        </w:rPr>
      </w:pPr>
      <w:r>
        <w:rPr>
          <w:rFonts w:hint="eastAsia" w:ascii="宋体" w:eastAsia="宋体" w:cs="宋体"/>
          <w:color w:val="000000"/>
          <w:kern w:val="0"/>
          <w:sz w:val="24"/>
          <w:szCs w:val="24"/>
        </w:rPr>
        <w:t>成本逼近法的基本公式：</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P=Ea</w:t>
      </w:r>
      <w:r>
        <w:rPr>
          <w:rFonts w:hint="eastAsia" w:ascii="宋体" w:eastAsia="宋体" w:cs="宋体"/>
          <w:color w:val="000000"/>
          <w:kern w:val="0"/>
          <w:sz w:val="24"/>
          <w:szCs w:val="24"/>
        </w:rPr>
        <w:t>＋</w:t>
      </w:r>
      <w:r>
        <w:rPr>
          <w:rFonts w:ascii="宋体" w:eastAsia="宋体" w:cs="宋体"/>
          <w:color w:val="000000"/>
          <w:kern w:val="0"/>
          <w:sz w:val="24"/>
          <w:szCs w:val="24"/>
        </w:rPr>
        <w:t>Ed</w:t>
      </w:r>
      <w:r>
        <w:rPr>
          <w:rFonts w:hint="eastAsia" w:ascii="宋体" w:eastAsia="宋体" w:cs="宋体"/>
          <w:color w:val="000000"/>
          <w:kern w:val="0"/>
          <w:sz w:val="24"/>
          <w:szCs w:val="24"/>
        </w:rPr>
        <w:t>＋</w:t>
      </w:r>
      <w:r>
        <w:rPr>
          <w:rFonts w:ascii="宋体" w:eastAsia="宋体" w:cs="宋体"/>
          <w:color w:val="000000"/>
          <w:kern w:val="0"/>
          <w:sz w:val="24"/>
          <w:szCs w:val="24"/>
        </w:rPr>
        <w:t>T</w:t>
      </w:r>
      <w:r>
        <w:rPr>
          <w:rFonts w:hint="eastAsia" w:ascii="宋体" w:eastAsia="宋体" w:cs="宋体"/>
          <w:color w:val="000000"/>
          <w:kern w:val="0"/>
          <w:sz w:val="24"/>
          <w:szCs w:val="24"/>
        </w:rPr>
        <w:t>＋</w:t>
      </w:r>
      <w:r>
        <w:rPr>
          <w:rFonts w:ascii="宋体" w:eastAsia="宋体" w:cs="宋体"/>
          <w:color w:val="000000"/>
          <w:kern w:val="0"/>
          <w:sz w:val="24"/>
          <w:szCs w:val="24"/>
        </w:rPr>
        <w:t>R1</w:t>
      </w:r>
      <w:r>
        <w:rPr>
          <w:rFonts w:hint="eastAsia" w:ascii="宋体" w:eastAsia="宋体" w:cs="宋体"/>
          <w:color w:val="000000"/>
          <w:kern w:val="0"/>
          <w:sz w:val="24"/>
          <w:szCs w:val="24"/>
        </w:rPr>
        <w:t>＋</w:t>
      </w:r>
      <w:r>
        <w:rPr>
          <w:rFonts w:ascii="宋体" w:eastAsia="宋体" w:cs="宋体"/>
          <w:color w:val="000000"/>
          <w:kern w:val="0"/>
          <w:sz w:val="24"/>
          <w:szCs w:val="24"/>
        </w:rPr>
        <w:t>R2</w:t>
      </w:r>
      <w:r>
        <w:rPr>
          <w:rFonts w:hint="eastAsia" w:ascii="宋体" w:eastAsia="宋体" w:cs="宋体"/>
          <w:color w:val="000000"/>
          <w:kern w:val="0"/>
          <w:sz w:val="24"/>
          <w:szCs w:val="24"/>
        </w:rPr>
        <w:t>＋</w:t>
      </w:r>
      <w:r>
        <w:rPr>
          <w:rFonts w:ascii="宋体" w:eastAsia="宋体" w:cs="宋体"/>
          <w:color w:val="000000"/>
          <w:kern w:val="0"/>
          <w:sz w:val="24"/>
          <w:szCs w:val="24"/>
        </w:rPr>
        <w:t>R3</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 xml:space="preserve"> =PE+R3</w:t>
      </w:r>
    </w:p>
    <w:p>
      <w:pPr>
        <w:pStyle w:val="85"/>
        <w:spacing w:line="500" w:lineRule="exact"/>
        <w:rPr>
          <w:rFonts w:ascii="宋体" w:eastAsia="宋体" w:cs="宋体"/>
          <w:color w:val="000000"/>
          <w:kern w:val="0"/>
          <w:sz w:val="24"/>
          <w:szCs w:val="24"/>
        </w:rPr>
      </w:pPr>
      <w:r>
        <w:rPr>
          <w:rFonts w:hint="eastAsia" w:ascii="宋体" w:eastAsia="宋体" w:cs="宋体"/>
          <w:color w:val="000000"/>
          <w:kern w:val="0"/>
          <w:sz w:val="24"/>
          <w:szCs w:val="24"/>
        </w:rPr>
        <w:t>式中：</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P—</w:t>
      </w:r>
      <w:r>
        <w:rPr>
          <w:rFonts w:hint="eastAsia" w:ascii="宋体" w:eastAsia="宋体" w:cs="宋体"/>
          <w:color w:val="000000"/>
          <w:kern w:val="0"/>
          <w:sz w:val="24"/>
          <w:szCs w:val="24"/>
        </w:rPr>
        <w:t>待估宗地价格</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Ea—</w:t>
      </w:r>
      <w:r>
        <w:rPr>
          <w:rFonts w:hint="eastAsia" w:ascii="宋体" w:eastAsia="宋体" w:cs="宋体"/>
          <w:color w:val="000000"/>
          <w:kern w:val="0"/>
          <w:sz w:val="24"/>
          <w:szCs w:val="24"/>
        </w:rPr>
        <w:t>土地取得费</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Ed—</w:t>
      </w:r>
      <w:r>
        <w:rPr>
          <w:rFonts w:hint="eastAsia" w:ascii="宋体" w:eastAsia="宋体" w:cs="宋体"/>
          <w:color w:val="000000"/>
          <w:kern w:val="0"/>
          <w:sz w:val="24"/>
          <w:szCs w:val="24"/>
        </w:rPr>
        <w:t>土地开发费</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T—</w:t>
      </w:r>
      <w:r>
        <w:rPr>
          <w:rFonts w:hint="eastAsia" w:ascii="宋体" w:eastAsia="宋体" w:cs="宋体"/>
          <w:color w:val="000000"/>
          <w:kern w:val="0"/>
          <w:sz w:val="24"/>
          <w:szCs w:val="24"/>
        </w:rPr>
        <w:t>税费</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R1—</w:t>
      </w:r>
      <w:r>
        <w:rPr>
          <w:rFonts w:hint="eastAsia" w:ascii="宋体" w:eastAsia="宋体" w:cs="宋体"/>
          <w:color w:val="000000"/>
          <w:kern w:val="0"/>
          <w:sz w:val="24"/>
          <w:szCs w:val="24"/>
        </w:rPr>
        <w:t>利息</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R2—</w:t>
      </w:r>
      <w:r>
        <w:rPr>
          <w:rFonts w:hint="eastAsia" w:ascii="宋体" w:eastAsia="宋体" w:cs="宋体"/>
          <w:color w:val="000000"/>
          <w:kern w:val="0"/>
          <w:sz w:val="24"/>
          <w:szCs w:val="24"/>
        </w:rPr>
        <w:t>利润</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R3—</w:t>
      </w:r>
      <w:r>
        <w:rPr>
          <w:rFonts w:hint="eastAsia" w:ascii="宋体" w:eastAsia="宋体" w:cs="宋体"/>
          <w:color w:val="000000"/>
          <w:kern w:val="0"/>
          <w:sz w:val="24"/>
          <w:szCs w:val="24"/>
        </w:rPr>
        <w:t>土地增值</w:t>
      </w:r>
    </w:p>
    <w:p>
      <w:pPr>
        <w:pStyle w:val="85"/>
        <w:spacing w:line="500" w:lineRule="exact"/>
        <w:rPr>
          <w:rFonts w:ascii="宋体" w:eastAsia="宋体" w:cs="宋体"/>
          <w:color w:val="000000"/>
          <w:kern w:val="0"/>
          <w:sz w:val="24"/>
          <w:szCs w:val="24"/>
        </w:rPr>
      </w:pPr>
      <w:r>
        <w:rPr>
          <w:rFonts w:ascii="宋体" w:eastAsia="宋体" w:cs="宋体"/>
          <w:color w:val="000000"/>
          <w:kern w:val="0"/>
          <w:sz w:val="24"/>
          <w:szCs w:val="24"/>
        </w:rPr>
        <w:t>PE—</w:t>
      </w:r>
      <w:r>
        <w:rPr>
          <w:rFonts w:hint="eastAsia" w:ascii="宋体" w:eastAsia="宋体" w:cs="宋体"/>
          <w:color w:val="000000"/>
          <w:kern w:val="0"/>
          <w:sz w:val="24"/>
          <w:szCs w:val="24"/>
        </w:rPr>
        <w:t>土地成本价格</w:t>
      </w:r>
    </w:p>
    <w:p>
      <w:pPr>
        <w:spacing w:line="500" w:lineRule="exact"/>
        <w:ind w:left="482"/>
        <w:rPr>
          <w:rFonts w:ascii="宋体"/>
          <w:color w:val="000000"/>
          <w:sz w:val="24"/>
        </w:rPr>
      </w:pPr>
      <w:r>
        <w:rPr>
          <w:rFonts w:hint="eastAsia" w:ascii="宋体"/>
          <w:b/>
          <w:color w:val="000000"/>
          <w:sz w:val="24"/>
        </w:rPr>
        <w:t>（</w:t>
      </w:r>
      <w:r>
        <w:rPr>
          <w:rFonts w:ascii="宋体"/>
          <w:b/>
          <w:color w:val="000000"/>
          <w:sz w:val="24"/>
        </w:rPr>
        <w:t>3</w:t>
      </w:r>
      <w:r>
        <w:rPr>
          <w:rFonts w:hint="eastAsia" w:ascii="宋体"/>
          <w:b/>
          <w:color w:val="000000"/>
          <w:sz w:val="24"/>
        </w:rPr>
        <w:t>）成本法</w:t>
      </w:r>
    </w:p>
    <w:p>
      <w:pPr>
        <w:spacing w:line="500" w:lineRule="exact"/>
        <w:ind w:firstLine="480" w:firstLineChars="200"/>
        <w:rPr>
          <w:rFonts w:ascii="宋体"/>
          <w:color w:val="000000"/>
          <w:sz w:val="24"/>
        </w:rPr>
      </w:pPr>
      <w:r>
        <w:rPr>
          <w:rFonts w:hint="eastAsia" w:ascii="宋体"/>
          <w:color w:val="000000"/>
          <w:sz w:val="24"/>
        </w:rPr>
        <w:t>测算估价对象在价值时点的重置成本和折旧，将重置成本减去折旧得到估价对象价值或价格的方法。建筑物的折旧包括物质折旧、功能折旧和外部折旧。</w:t>
      </w:r>
    </w:p>
    <w:p>
      <w:pPr>
        <w:spacing w:line="500" w:lineRule="exact"/>
        <w:ind w:firstLine="480" w:firstLineChars="200"/>
        <w:rPr>
          <w:rFonts w:ascii="宋体"/>
          <w:color w:val="000000"/>
          <w:sz w:val="24"/>
        </w:rPr>
      </w:pPr>
      <w:r>
        <w:rPr>
          <w:rFonts w:hint="eastAsia" w:ascii="宋体"/>
          <w:color w:val="000000"/>
          <w:sz w:val="24"/>
        </w:rPr>
        <w:t>公式：评估值</w:t>
      </w:r>
      <w:r>
        <w:rPr>
          <w:rFonts w:ascii="宋体"/>
          <w:color w:val="000000"/>
          <w:sz w:val="24"/>
        </w:rPr>
        <w:t>=</w:t>
      </w:r>
      <w:r>
        <w:rPr>
          <w:rFonts w:hint="eastAsia" w:ascii="宋体"/>
          <w:color w:val="000000"/>
          <w:sz w:val="24"/>
        </w:rPr>
        <w:t>重置成本</w:t>
      </w:r>
      <w:r>
        <w:rPr>
          <w:rFonts w:ascii="宋体"/>
          <w:color w:val="000000"/>
          <w:sz w:val="24"/>
        </w:rPr>
        <w:t>-</w:t>
      </w:r>
      <w:r>
        <w:rPr>
          <w:rFonts w:hint="eastAsia" w:ascii="宋体"/>
          <w:color w:val="000000"/>
          <w:sz w:val="24"/>
        </w:rPr>
        <w:t>物资折旧</w:t>
      </w:r>
      <w:r>
        <w:rPr>
          <w:rFonts w:ascii="宋体"/>
          <w:color w:val="000000"/>
          <w:sz w:val="24"/>
        </w:rPr>
        <w:t>-</w:t>
      </w:r>
      <w:r>
        <w:rPr>
          <w:rFonts w:hint="eastAsia" w:ascii="宋体"/>
          <w:color w:val="000000"/>
          <w:sz w:val="24"/>
        </w:rPr>
        <w:t>功能折旧</w:t>
      </w:r>
      <w:r>
        <w:rPr>
          <w:rFonts w:ascii="宋体"/>
          <w:color w:val="000000"/>
          <w:sz w:val="24"/>
        </w:rPr>
        <w:t>-</w:t>
      </w:r>
      <w:r>
        <w:rPr>
          <w:rFonts w:hint="eastAsia" w:ascii="宋体"/>
          <w:color w:val="000000"/>
          <w:sz w:val="24"/>
        </w:rPr>
        <w:t>外部折旧</w:t>
      </w:r>
    </w:p>
    <w:p>
      <w:pPr>
        <w:spacing w:line="500" w:lineRule="exact"/>
        <w:ind w:firstLine="480" w:firstLineChars="200"/>
        <w:rPr>
          <w:rFonts w:ascii="宋体" w:cs="宋体"/>
          <w:color w:val="000000"/>
          <w:sz w:val="24"/>
        </w:rPr>
      </w:pPr>
      <w:r>
        <w:rPr>
          <w:rFonts w:ascii="宋体"/>
          <w:color w:val="000000"/>
          <w:sz w:val="24"/>
        </w:rPr>
        <w:t xml:space="preserve">            =</w:t>
      </w:r>
      <w:r>
        <w:rPr>
          <w:rFonts w:hint="eastAsia" w:ascii="宋体"/>
          <w:color w:val="000000"/>
          <w:sz w:val="24"/>
        </w:rPr>
        <w:t>重置成本×成新率</w:t>
      </w:r>
    </w:p>
    <w:p>
      <w:pPr>
        <w:spacing w:line="500" w:lineRule="exact"/>
        <w:ind w:left="482"/>
        <w:rPr>
          <w:rFonts w:ascii="宋体"/>
          <w:b/>
          <w:color w:val="000000"/>
          <w:sz w:val="24"/>
        </w:rPr>
      </w:pPr>
      <w:r>
        <w:rPr>
          <w:rFonts w:hint="eastAsia" w:ascii="宋体"/>
          <w:b/>
          <w:color w:val="000000"/>
          <w:sz w:val="24"/>
        </w:rPr>
        <w:t>（</w:t>
      </w:r>
      <w:r>
        <w:rPr>
          <w:rFonts w:ascii="宋体"/>
          <w:b/>
          <w:color w:val="000000"/>
          <w:sz w:val="24"/>
        </w:rPr>
        <w:t>4</w:t>
      </w:r>
      <w:r>
        <w:rPr>
          <w:rFonts w:hint="eastAsia" w:ascii="宋体"/>
          <w:b/>
          <w:color w:val="000000"/>
          <w:sz w:val="24"/>
        </w:rPr>
        <w:t>）收益法</w:t>
      </w:r>
    </w:p>
    <w:p>
      <w:pPr>
        <w:pStyle w:val="28"/>
        <w:spacing w:after="0" w:line="500" w:lineRule="exact"/>
        <w:ind w:left="0" w:firstLine="540" w:firstLineChars="225"/>
        <w:rPr>
          <w:rFonts w:ascii="宋体"/>
          <w:color w:val="000000"/>
          <w:sz w:val="24"/>
          <w:szCs w:val="24"/>
        </w:rPr>
      </w:pPr>
      <w:r>
        <w:rPr>
          <w:rFonts w:hint="eastAsia" w:ascii="宋体" w:hAnsi="宋体"/>
          <w:color w:val="000000"/>
          <w:sz w:val="24"/>
          <w:szCs w:val="24"/>
        </w:rPr>
        <w:t>收益法：是预测估价对象的未来收益，利用报酬率将未来收益转换为价值得到估价对象价值或价格的方法。</w:t>
      </w:r>
    </w:p>
    <w:p>
      <w:pPr>
        <w:spacing w:line="360" w:lineRule="auto"/>
        <w:rPr>
          <w:rFonts w:ascii="宋体"/>
          <w:color w:val="000000"/>
          <w:szCs w:val="21"/>
        </w:rPr>
      </w:pPr>
      <w:r>
        <w:rPr>
          <w:rFonts w:ascii="宋体"/>
          <w:color w:val="000000"/>
          <w:szCs w:val="21"/>
        </w:rPr>
        <w:drawing>
          <wp:inline distT="0" distB="0" distL="114300" distR="114300">
            <wp:extent cx="1552575" cy="523875"/>
            <wp:effectExtent l="0" t="0" r="9525" b="952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2"/>
                    <a:stretch>
                      <a:fillRect/>
                    </a:stretch>
                  </pic:blipFill>
                  <pic:spPr>
                    <a:xfrm>
                      <a:off x="0" y="0"/>
                      <a:ext cx="1552575" cy="523875"/>
                    </a:xfrm>
                    <a:prstGeom prst="rect">
                      <a:avLst/>
                    </a:prstGeom>
                    <a:noFill/>
                    <a:ln>
                      <a:noFill/>
                    </a:ln>
                  </pic:spPr>
                </pic:pic>
              </a:graphicData>
            </a:graphic>
          </wp:inline>
        </w:drawing>
      </w:r>
    </w:p>
    <w:p>
      <w:pPr>
        <w:pStyle w:val="28"/>
        <w:spacing w:after="0" w:line="500" w:lineRule="exact"/>
        <w:ind w:left="0" w:firstLine="540" w:firstLineChars="225"/>
        <w:rPr>
          <w:rFonts w:ascii="宋体"/>
          <w:color w:val="000000"/>
          <w:sz w:val="24"/>
          <w:szCs w:val="24"/>
        </w:rPr>
      </w:pPr>
      <w:r>
        <w:rPr>
          <w:rFonts w:hint="eastAsia" w:ascii="宋体" w:hAnsi="宋体"/>
          <w:color w:val="000000"/>
          <w:sz w:val="24"/>
          <w:szCs w:val="24"/>
        </w:rPr>
        <w:t>其中：</w:t>
      </w:r>
    </w:p>
    <w:p>
      <w:pPr>
        <w:pStyle w:val="28"/>
        <w:spacing w:after="0" w:line="500" w:lineRule="exact"/>
        <w:ind w:left="0" w:firstLine="540" w:firstLineChars="225"/>
        <w:rPr>
          <w:rFonts w:ascii="宋体"/>
          <w:color w:val="000000"/>
          <w:sz w:val="24"/>
          <w:szCs w:val="24"/>
        </w:rPr>
      </w:pPr>
      <w:r>
        <w:rPr>
          <w:rFonts w:ascii="宋体" w:hAnsi="宋体"/>
          <w:color w:val="000000"/>
          <w:sz w:val="24"/>
          <w:szCs w:val="24"/>
        </w:rPr>
        <w:t>V--</w:t>
      </w:r>
      <w:r>
        <w:rPr>
          <w:rFonts w:hint="eastAsia" w:ascii="宋体" w:hAnsi="宋体"/>
          <w:color w:val="000000"/>
          <w:sz w:val="24"/>
          <w:szCs w:val="24"/>
        </w:rPr>
        <w:t>表示估价对象在价值时点的收益价格，即现值</w:t>
      </w:r>
    </w:p>
    <w:p>
      <w:pPr>
        <w:pStyle w:val="28"/>
        <w:spacing w:after="0" w:line="500" w:lineRule="exact"/>
        <w:ind w:left="0" w:firstLine="540" w:firstLineChars="225"/>
        <w:rPr>
          <w:rFonts w:ascii="宋体"/>
          <w:color w:val="000000"/>
          <w:sz w:val="24"/>
          <w:szCs w:val="24"/>
        </w:rPr>
      </w:pPr>
      <w:r>
        <w:rPr>
          <w:rFonts w:ascii="宋体" w:hAnsi="宋体"/>
          <w:color w:val="000000"/>
          <w:sz w:val="24"/>
          <w:szCs w:val="24"/>
        </w:rPr>
        <w:t>Ai--</w:t>
      </w:r>
      <w:r>
        <w:rPr>
          <w:rFonts w:hint="eastAsia" w:ascii="宋体" w:hAnsi="宋体"/>
          <w:color w:val="000000"/>
          <w:sz w:val="24"/>
          <w:szCs w:val="24"/>
        </w:rPr>
        <w:t>表示未来第</w:t>
      </w:r>
      <w:r>
        <w:rPr>
          <w:rFonts w:ascii="宋体" w:hAnsi="宋体"/>
          <w:color w:val="000000"/>
          <w:sz w:val="24"/>
          <w:szCs w:val="24"/>
        </w:rPr>
        <w:t>i</w:t>
      </w:r>
      <w:r>
        <w:rPr>
          <w:rFonts w:hint="eastAsia" w:ascii="宋体" w:hAnsi="宋体"/>
          <w:color w:val="000000"/>
          <w:sz w:val="24"/>
          <w:szCs w:val="24"/>
        </w:rPr>
        <w:t>年的净收益</w:t>
      </w:r>
    </w:p>
    <w:p>
      <w:pPr>
        <w:pStyle w:val="28"/>
        <w:spacing w:after="0" w:line="500" w:lineRule="exact"/>
        <w:ind w:left="0" w:firstLine="540" w:firstLineChars="225"/>
        <w:rPr>
          <w:rFonts w:ascii="宋体"/>
          <w:color w:val="000000"/>
          <w:sz w:val="24"/>
          <w:szCs w:val="24"/>
        </w:rPr>
      </w:pPr>
      <w:r>
        <w:rPr>
          <w:rFonts w:ascii="宋体" w:hAnsi="宋体"/>
          <w:color w:val="000000"/>
          <w:sz w:val="24"/>
          <w:szCs w:val="24"/>
        </w:rPr>
        <w:t>R--</w:t>
      </w:r>
      <w:r>
        <w:rPr>
          <w:rFonts w:hint="eastAsia" w:ascii="宋体" w:hAnsi="宋体"/>
          <w:color w:val="000000"/>
          <w:sz w:val="24"/>
          <w:szCs w:val="24"/>
        </w:rPr>
        <w:t>表示报酬率</w:t>
      </w:r>
    </w:p>
    <w:p>
      <w:pPr>
        <w:pStyle w:val="28"/>
        <w:spacing w:after="0" w:line="500" w:lineRule="exact"/>
        <w:ind w:left="0" w:firstLine="540" w:firstLineChars="225"/>
        <w:rPr>
          <w:rFonts w:ascii="宋体"/>
          <w:color w:val="000000"/>
          <w:sz w:val="24"/>
          <w:szCs w:val="24"/>
        </w:rPr>
      </w:pPr>
      <w:r>
        <w:rPr>
          <w:rFonts w:ascii="宋体" w:hAnsi="宋体"/>
          <w:color w:val="000000"/>
          <w:sz w:val="24"/>
          <w:szCs w:val="24"/>
        </w:rPr>
        <w:t>n--</w:t>
      </w:r>
      <w:r>
        <w:rPr>
          <w:rFonts w:hint="eastAsia" w:ascii="宋体" w:hAnsi="宋体"/>
          <w:color w:val="000000"/>
          <w:sz w:val="24"/>
          <w:szCs w:val="24"/>
        </w:rPr>
        <w:t>表示房地产的收益年限</w:t>
      </w:r>
    </w:p>
    <w:p>
      <w:pPr>
        <w:spacing w:line="520" w:lineRule="exact"/>
        <w:ind w:firstLine="361" w:firstLineChars="150"/>
        <w:rPr>
          <w:rFonts w:ascii="宋体"/>
          <w:b/>
          <w:color w:val="000000"/>
          <w:sz w:val="24"/>
        </w:rPr>
      </w:pPr>
      <w:r>
        <w:rPr>
          <w:rFonts w:ascii="宋体" w:hAnsi="宋体"/>
          <w:b/>
          <w:color w:val="000000"/>
          <w:sz w:val="24"/>
        </w:rPr>
        <w:t>2</w:t>
      </w:r>
      <w:r>
        <w:rPr>
          <w:rFonts w:hint="eastAsia" w:ascii="宋体" w:hAnsi="宋体"/>
          <w:b/>
          <w:color w:val="000000"/>
          <w:sz w:val="24"/>
        </w:rPr>
        <w:t>、简要过程</w:t>
      </w:r>
    </w:p>
    <w:p>
      <w:pPr>
        <w:spacing w:line="520" w:lineRule="exact"/>
        <w:ind w:firstLine="360" w:firstLineChars="150"/>
        <w:rPr>
          <w:rFonts w:ascii="宋体"/>
          <w:color w:val="000000"/>
          <w:sz w:val="24"/>
        </w:rPr>
      </w:pPr>
      <w:r>
        <w:rPr>
          <w:rFonts w:hint="eastAsia" w:ascii="宋体" w:hAnsi="宋体"/>
          <w:color w:val="000000"/>
          <w:sz w:val="24"/>
        </w:rPr>
        <w:t>（</w:t>
      </w:r>
      <w:r>
        <w:rPr>
          <w:rFonts w:ascii="宋体" w:hAnsi="宋体"/>
          <w:color w:val="000000"/>
          <w:sz w:val="24"/>
        </w:rPr>
        <w:t>1</w:t>
      </w:r>
      <w:r>
        <w:rPr>
          <w:rFonts w:hint="eastAsia" w:ascii="宋体" w:hAnsi="宋体"/>
          <w:color w:val="000000"/>
          <w:sz w:val="24"/>
        </w:rPr>
        <w:t>）本次采用成本法进行评估，采取房地分估路径，其中：</w:t>
      </w:r>
    </w:p>
    <w:p>
      <w:pPr>
        <w:spacing w:line="520" w:lineRule="exact"/>
        <w:ind w:firstLine="480" w:firstLineChars="200"/>
        <w:rPr>
          <w:rFonts w:ascii="宋体"/>
          <w:color w:val="000000"/>
          <w:sz w:val="24"/>
        </w:rPr>
      </w:pPr>
      <w:r>
        <w:rPr>
          <w:rFonts w:hint="eastAsia" w:ascii="宋体" w:hAnsi="宋体"/>
          <w:color w:val="000000"/>
          <w:sz w:val="24"/>
        </w:rPr>
        <w:t>土地使用权价格测算：我们按照统一规划条件指标进行评估，分别采用基准地价系数修正法和成本逼近法进行测算，然后结合估价对象实际状况，取两种测算结果的加权或简单算术平均数作为估价对象土地使用权最终结果。</w:t>
      </w:r>
    </w:p>
    <w:p>
      <w:pPr>
        <w:spacing w:line="520" w:lineRule="exact"/>
        <w:ind w:firstLine="480" w:firstLineChars="200"/>
        <w:rPr>
          <w:rFonts w:ascii="宋体"/>
          <w:color w:val="000000"/>
          <w:sz w:val="24"/>
        </w:rPr>
      </w:pPr>
      <w:r>
        <w:rPr>
          <w:rFonts w:hint="eastAsia" w:ascii="宋体" w:hAnsi="宋体"/>
          <w:color w:val="000000"/>
          <w:sz w:val="24"/>
        </w:rPr>
        <w:t>地上建筑物：采用重置成本法，其中：对于</w:t>
      </w:r>
      <w:r>
        <w:rPr>
          <w:rFonts w:ascii="宋体" w:hAnsi="宋体"/>
          <w:color w:val="000000"/>
          <w:sz w:val="24"/>
        </w:rPr>
        <w:t>3</w:t>
      </w:r>
      <w:r>
        <w:rPr>
          <w:rFonts w:hint="eastAsia" w:ascii="宋体" w:hAnsi="宋体"/>
          <w:color w:val="000000"/>
          <w:sz w:val="24"/>
        </w:rPr>
        <w:t>栋无证建筑，估价委托人法院未向我们书面明确《涉执房地产处置司法评估指导意见（试行）》第二十六条中的其中之一的处理方式，对于我们的建议方案也未提出书面异议，因此我们根据所在项目特点，结合土地用途按现状结构、设定可持续正常使用条件下重置成本现值的测算，并对应各自用途与项目不得分割独立使用前提下体现价值最大化。</w:t>
      </w:r>
    </w:p>
    <w:p>
      <w:pPr>
        <w:spacing w:line="52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2</w:t>
      </w:r>
      <w:r>
        <w:rPr>
          <w:rFonts w:hint="eastAsia" w:ascii="宋体" w:hAnsi="宋体"/>
          <w:color w:val="000000"/>
          <w:sz w:val="24"/>
        </w:rPr>
        <w:t>）收益法：结合估价对象实际用作经营的利用现状，依据类似房地产客观的租赁水平，分</w:t>
      </w:r>
      <w:r>
        <w:rPr>
          <w:rFonts w:ascii="宋体" w:hAnsi="宋体"/>
          <w:color w:val="000000"/>
          <w:sz w:val="24"/>
        </w:rPr>
        <w:t>3</w:t>
      </w:r>
      <w:r>
        <w:rPr>
          <w:rFonts w:hint="eastAsia" w:ascii="宋体" w:hAnsi="宋体"/>
          <w:color w:val="000000"/>
          <w:sz w:val="24"/>
        </w:rPr>
        <w:t>个类别采用收益法进行估算。</w:t>
      </w:r>
      <w:r>
        <w:rPr>
          <w:rFonts w:hint="eastAsia" w:ascii="宋体" w:cs="宋体"/>
          <w:color w:val="000000"/>
          <w:sz w:val="24"/>
        </w:rPr>
        <w:t>测绘报告记载共</w:t>
      </w:r>
      <w:r>
        <w:rPr>
          <w:rFonts w:ascii="宋体" w:cs="宋体"/>
          <w:color w:val="000000"/>
          <w:sz w:val="24"/>
        </w:rPr>
        <w:t>45.69</w:t>
      </w:r>
      <w:r>
        <w:rPr>
          <w:rFonts w:hint="eastAsia" w:ascii="宋体" w:cs="宋体"/>
          <w:color w:val="000000"/>
          <w:sz w:val="24"/>
        </w:rPr>
        <w:t>㎡的无证建筑第</w:t>
      </w:r>
      <w:r>
        <w:rPr>
          <w:rFonts w:ascii="宋体" w:cs="宋体"/>
          <w:color w:val="000000"/>
          <w:sz w:val="24"/>
        </w:rPr>
        <w:t>2</w:t>
      </w:r>
      <w:r>
        <w:rPr>
          <w:rFonts w:hint="eastAsia" w:ascii="宋体" w:cs="宋体"/>
          <w:color w:val="000000"/>
          <w:sz w:val="24"/>
        </w:rPr>
        <w:t>、</w:t>
      </w:r>
      <w:r>
        <w:rPr>
          <w:rFonts w:ascii="宋体" w:cs="宋体"/>
          <w:color w:val="000000"/>
          <w:sz w:val="24"/>
        </w:rPr>
        <w:t>6</w:t>
      </w:r>
      <w:r>
        <w:rPr>
          <w:rFonts w:hint="eastAsia" w:ascii="宋体" w:cs="宋体"/>
          <w:color w:val="000000"/>
          <w:sz w:val="24"/>
        </w:rPr>
        <w:t>、</w:t>
      </w:r>
      <w:r>
        <w:rPr>
          <w:rFonts w:ascii="宋体" w:cs="宋体"/>
          <w:color w:val="000000"/>
          <w:sz w:val="24"/>
        </w:rPr>
        <w:t>7</w:t>
      </w:r>
      <w:r>
        <w:rPr>
          <w:rFonts w:hint="eastAsia" w:ascii="宋体" w:cs="宋体"/>
          <w:color w:val="000000"/>
          <w:sz w:val="24"/>
        </w:rPr>
        <w:t>栋均系为园区内经营性用房提供配套服务的门卫房、小库房，不单独产生收益，故考虑其价值已体现在有证的经营性用房的评估价格中。</w:t>
      </w:r>
    </w:p>
    <w:p>
      <w:pPr>
        <w:spacing w:line="52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3</w:t>
      </w:r>
      <w:r>
        <w:rPr>
          <w:rFonts w:hint="eastAsia" w:ascii="宋体" w:hAnsi="宋体"/>
          <w:color w:val="000000"/>
          <w:sz w:val="24"/>
        </w:rPr>
        <w:t>）最后综合两种方法的估算结果，经分析后确定最终估价结果。</w:t>
      </w:r>
    </w:p>
    <w:p>
      <w:pPr>
        <w:spacing w:line="520" w:lineRule="exact"/>
        <w:ind w:firstLine="480" w:firstLineChars="200"/>
        <w:rPr>
          <w:rFonts w:ascii="宋体"/>
          <w:color w:val="000000"/>
          <w:sz w:val="24"/>
        </w:rPr>
      </w:pPr>
      <w:r>
        <w:rPr>
          <w:rFonts w:hint="eastAsia" w:ascii="宋体" w:hAnsi="宋体"/>
          <w:color w:val="000000"/>
          <w:sz w:val="24"/>
        </w:rPr>
        <w:t>（</w:t>
      </w:r>
      <w:r>
        <w:rPr>
          <w:rFonts w:ascii="宋体" w:hAnsi="宋体"/>
          <w:color w:val="000000"/>
          <w:sz w:val="24"/>
        </w:rPr>
        <w:t>4</w:t>
      </w:r>
      <w:r>
        <w:rPr>
          <w:rFonts w:hint="eastAsia" w:ascii="宋体" w:hAnsi="宋体"/>
          <w:color w:val="000000"/>
          <w:sz w:val="24"/>
        </w:rPr>
        <w:t>）估价结果的综合确定：结合估价对象实际状况，以上述两种方法估算结果的加权算术平均数确定最终价格；并结合此次估价目的，经分析后直接采用成本法估算结果作为估价对象整体房地产的最后评估结果，再以收益法的类别换算至综合单价。</w:t>
      </w:r>
    </w:p>
    <w:p>
      <w:pPr>
        <w:spacing w:line="520" w:lineRule="exact"/>
        <w:rPr>
          <w:rFonts w:ascii="宋体"/>
          <w:b/>
          <w:color w:val="000000"/>
          <w:sz w:val="24"/>
        </w:rPr>
      </w:pPr>
      <w:r>
        <w:rPr>
          <w:rFonts w:hint="eastAsia" w:ascii="黑体" w:eastAsia="黑体"/>
          <w:b/>
          <w:bCs/>
          <w:color w:val="000000"/>
          <w:sz w:val="24"/>
        </w:rPr>
        <w:t>十、估价结果</w:t>
      </w:r>
    </w:p>
    <w:p>
      <w:pPr>
        <w:spacing w:line="520" w:lineRule="exact"/>
        <w:ind w:firstLine="480" w:firstLineChars="200"/>
        <w:rPr>
          <w:rFonts w:ascii="宋体"/>
          <w:b/>
          <w:color w:val="000000"/>
          <w:spacing w:val="-4"/>
          <w:sz w:val="24"/>
        </w:rPr>
      </w:pPr>
      <w:r>
        <w:rPr>
          <w:rFonts w:hint="eastAsia" w:ascii="宋体" w:hAnsi="宋体"/>
          <w:color w:val="000000"/>
          <w:sz w:val="24"/>
        </w:rPr>
        <w:t>本估价机构的估价人员按照必要的估价程序实施了实地查勘、市场调查，分别采用成本法（房地分估、其中土地使用权采用基准地价系数修正法和成本逼近法）和收益法进行了估算，最后确定估价对象在价值时点二○二二年四月二日（委托书未明确，</w:t>
      </w:r>
      <w:r>
        <w:rPr>
          <w:rFonts w:hint="eastAsia" w:ascii="宋体" w:hAnsi="宋体"/>
          <w:color w:val="000000"/>
          <w:sz w:val="24"/>
          <w:szCs w:val="20"/>
        </w:rPr>
        <w:t>本次以</w:t>
      </w:r>
      <w:r>
        <w:rPr>
          <w:rFonts w:hint="eastAsia" w:ascii="宋体" w:hAnsi="宋体"/>
          <w:color w:val="000000"/>
          <w:sz w:val="24"/>
        </w:rPr>
        <w:t>实地查勘之日作为价值时点）</w:t>
      </w:r>
      <w:r>
        <w:rPr>
          <w:rFonts w:hint="eastAsia" w:ascii="宋体"/>
          <w:color w:val="000000"/>
          <w:sz w:val="24"/>
        </w:rPr>
        <w:t>市场状况下</w:t>
      </w:r>
      <w:r>
        <w:rPr>
          <w:rFonts w:hint="eastAsia"/>
          <w:bCs/>
          <w:color w:val="000000"/>
          <w:sz w:val="24"/>
        </w:rPr>
        <w:t>整体</w:t>
      </w:r>
      <w:r>
        <w:rPr>
          <w:rFonts w:hint="eastAsia" w:ascii="宋体"/>
          <w:color w:val="000000"/>
          <w:sz w:val="24"/>
        </w:rPr>
        <w:t>房地产市场价值为</w:t>
      </w:r>
      <w:r>
        <w:rPr>
          <w:b/>
          <w:color w:val="000000"/>
          <w:sz w:val="24"/>
        </w:rPr>
        <w:fldChar w:fldCharType="begin"/>
      </w:r>
      <w:r>
        <w:rPr>
          <w:b/>
          <w:color w:val="000000"/>
          <w:sz w:val="24"/>
        </w:rPr>
        <w:instrText xml:space="preserve"> =SUM(ABOVE) </w:instrText>
      </w:r>
      <w:r>
        <w:rPr>
          <w:b/>
          <w:color w:val="000000"/>
          <w:sz w:val="24"/>
        </w:rPr>
        <w:fldChar w:fldCharType="separate"/>
      </w:r>
      <w:r>
        <w:rPr>
          <w:b/>
          <w:color w:val="000000"/>
          <w:sz w:val="24"/>
        </w:rPr>
        <w:t>169915346</w:t>
      </w:r>
      <w:r>
        <w:rPr>
          <w:b/>
          <w:color w:val="000000"/>
          <w:sz w:val="24"/>
        </w:rPr>
        <w:fldChar w:fldCharType="end"/>
      </w:r>
      <w:r>
        <w:rPr>
          <w:rFonts w:hint="eastAsia"/>
          <w:bCs/>
          <w:color w:val="000000"/>
          <w:sz w:val="24"/>
        </w:rPr>
        <w:t>元，</w:t>
      </w:r>
      <w:r>
        <w:rPr>
          <w:rFonts w:hint="eastAsia" w:ascii="宋体"/>
          <w:color w:val="000000"/>
          <w:spacing w:val="-4"/>
          <w:sz w:val="24"/>
        </w:rPr>
        <w:t>大写人民币</w:t>
      </w:r>
      <w:r>
        <w:rPr>
          <w:rFonts w:ascii="宋体"/>
          <w:b/>
          <w:bCs/>
          <w:color w:val="000000"/>
          <w:spacing w:val="-4"/>
          <w:sz w:val="24"/>
        </w:rPr>
        <w:fldChar w:fldCharType="begin"/>
      </w:r>
      <w:r>
        <w:rPr>
          <w:rFonts w:ascii="宋体"/>
          <w:b/>
          <w:bCs/>
          <w:color w:val="000000"/>
          <w:spacing w:val="-4"/>
          <w:sz w:val="24"/>
        </w:rPr>
        <w:instrText xml:space="preserve"> = 169915346 \* CHINESENUM2 </w:instrText>
      </w:r>
      <w:r>
        <w:rPr>
          <w:rFonts w:ascii="宋体"/>
          <w:b/>
          <w:bCs/>
          <w:color w:val="000000"/>
          <w:spacing w:val="-4"/>
          <w:sz w:val="24"/>
        </w:rPr>
        <w:fldChar w:fldCharType="separate"/>
      </w:r>
      <w:r>
        <w:rPr>
          <w:rFonts w:hint="eastAsia" w:ascii="宋体"/>
          <w:b/>
          <w:bCs/>
          <w:color w:val="000000"/>
          <w:spacing w:val="-4"/>
          <w:sz w:val="24"/>
        </w:rPr>
        <w:t>壹亿陆仟玖佰玖拾壹万伍仟叁佰肆拾陆</w:t>
      </w:r>
      <w:r>
        <w:rPr>
          <w:rFonts w:ascii="宋体"/>
          <w:b/>
          <w:bCs/>
          <w:color w:val="000000"/>
          <w:spacing w:val="-4"/>
          <w:sz w:val="24"/>
        </w:rPr>
        <w:fldChar w:fldCharType="end"/>
      </w:r>
      <w:r>
        <w:rPr>
          <w:rFonts w:hint="eastAsia" w:ascii="宋体"/>
          <w:b/>
          <w:color w:val="000000"/>
          <w:spacing w:val="-4"/>
          <w:sz w:val="24"/>
        </w:rPr>
        <w:t>元整</w:t>
      </w:r>
      <w:r>
        <w:rPr>
          <w:rFonts w:hint="eastAsia" w:ascii="宋体"/>
          <w:color w:val="000000"/>
          <w:spacing w:val="-4"/>
          <w:sz w:val="24"/>
        </w:rPr>
        <w:t>，具体下表：</w:t>
      </w:r>
    </w:p>
    <w:p>
      <w:pPr>
        <w:spacing w:line="520" w:lineRule="exact"/>
        <w:jc w:val="center"/>
        <w:rPr>
          <w:rFonts w:ascii="宋体"/>
          <w:b/>
          <w:color w:val="000000"/>
          <w:spacing w:val="-4"/>
          <w:sz w:val="24"/>
        </w:rPr>
      </w:pPr>
      <w:r>
        <w:rPr>
          <w:rFonts w:hint="eastAsia"/>
          <w:b/>
          <w:bCs/>
          <w:color w:val="000000"/>
          <w:sz w:val="24"/>
        </w:rPr>
        <w:t>整体</w:t>
      </w:r>
      <w:r>
        <w:rPr>
          <w:rFonts w:hint="eastAsia" w:ascii="宋体"/>
          <w:b/>
          <w:color w:val="000000"/>
          <w:spacing w:val="-4"/>
          <w:sz w:val="24"/>
        </w:rPr>
        <w:t>房地产市场价值估价结果汇总表</w:t>
      </w:r>
    </w:p>
    <w:p>
      <w:pPr>
        <w:spacing w:line="520" w:lineRule="exact"/>
        <w:ind w:firstLine="602" w:firstLineChars="250"/>
        <w:jc w:val="right"/>
        <w:rPr>
          <w:b/>
          <w:color w:val="000000"/>
          <w:sz w:val="24"/>
        </w:rPr>
      </w:pPr>
      <w:r>
        <w:rPr>
          <w:rFonts w:hint="eastAsia"/>
          <w:b/>
          <w:color w:val="000000"/>
          <w:sz w:val="24"/>
        </w:rPr>
        <w:t>币种：人民币</w:t>
      </w:r>
    </w:p>
    <w:tbl>
      <w:tblPr>
        <w:tblStyle w:val="35"/>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654"/>
        <w:gridCol w:w="665"/>
        <w:gridCol w:w="665"/>
        <w:gridCol w:w="665"/>
        <w:gridCol w:w="673"/>
        <w:gridCol w:w="941"/>
        <w:gridCol w:w="682"/>
        <w:gridCol w:w="999"/>
        <w:gridCol w:w="1038"/>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Align w:val="center"/>
          </w:tcPr>
          <w:p>
            <w:pPr>
              <w:spacing w:line="360" w:lineRule="exact"/>
              <w:jc w:val="center"/>
              <w:rPr>
                <w:color w:val="000000"/>
                <w:sz w:val="18"/>
                <w:szCs w:val="18"/>
              </w:rPr>
            </w:pPr>
            <w:r>
              <w:rPr>
                <w:rFonts w:hint="eastAsia"/>
                <w:color w:val="000000"/>
                <w:sz w:val="18"/>
                <w:szCs w:val="18"/>
              </w:rPr>
              <w:t>权证号</w:t>
            </w:r>
          </w:p>
        </w:tc>
        <w:tc>
          <w:tcPr>
            <w:tcW w:w="654" w:type="dxa"/>
            <w:vAlign w:val="center"/>
          </w:tcPr>
          <w:p>
            <w:pPr>
              <w:spacing w:line="360" w:lineRule="exact"/>
              <w:jc w:val="center"/>
              <w:rPr>
                <w:color w:val="000000"/>
                <w:sz w:val="18"/>
                <w:szCs w:val="18"/>
              </w:rPr>
            </w:pPr>
            <w:r>
              <w:rPr>
                <w:rFonts w:hint="eastAsia"/>
                <w:color w:val="000000"/>
                <w:sz w:val="18"/>
                <w:szCs w:val="18"/>
              </w:rPr>
              <w:t>类别</w:t>
            </w:r>
          </w:p>
        </w:tc>
        <w:tc>
          <w:tcPr>
            <w:tcW w:w="665" w:type="dxa"/>
            <w:vAlign w:val="center"/>
          </w:tcPr>
          <w:p>
            <w:pPr>
              <w:spacing w:line="360" w:lineRule="exact"/>
              <w:jc w:val="center"/>
              <w:rPr>
                <w:color w:val="000000"/>
                <w:sz w:val="18"/>
                <w:szCs w:val="18"/>
              </w:rPr>
            </w:pPr>
            <w:r>
              <w:rPr>
                <w:rFonts w:hint="eastAsia"/>
                <w:color w:val="000000"/>
                <w:sz w:val="18"/>
                <w:szCs w:val="18"/>
              </w:rPr>
              <w:t>测绘</w:t>
            </w:r>
          </w:p>
          <w:p>
            <w:pPr>
              <w:spacing w:line="360" w:lineRule="exact"/>
              <w:jc w:val="center"/>
              <w:rPr>
                <w:color w:val="000000"/>
                <w:sz w:val="18"/>
                <w:szCs w:val="18"/>
              </w:rPr>
            </w:pPr>
            <w:r>
              <w:rPr>
                <w:rFonts w:hint="eastAsia"/>
                <w:color w:val="000000"/>
                <w:sz w:val="18"/>
                <w:szCs w:val="18"/>
              </w:rPr>
              <w:t>栋号</w:t>
            </w:r>
          </w:p>
        </w:tc>
        <w:tc>
          <w:tcPr>
            <w:tcW w:w="665" w:type="dxa"/>
            <w:vAlign w:val="center"/>
          </w:tcPr>
          <w:p>
            <w:pPr>
              <w:spacing w:line="360" w:lineRule="exact"/>
              <w:jc w:val="center"/>
              <w:rPr>
                <w:color w:val="000000"/>
                <w:sz w:val="18"/>
                <w:szCs w:val="18"/>
              </w:rPr>
            </w:pPr>
            <w:r>
              <w:rPr>
                <w:rFonts w:hint="eastAsia"/>
                <w:color w:val="000000"/>
                <w:sz w:val="18"/>
                <w:szCs w:val="18"/>
              </w:rPr>
              <w:t>现场</w:t>
            </w:r>
          </w:p>
          <w:p>
            <w:pPr>
              <w:spacing w:line="360" w:lineRule="exact"/>
              <w:jc w:val="center"/>
              <w:rPr>
                <w:color w:val="000000"/>
                <w:sz w:val="18"/>
                <w:szCs w:val="18"/>
              </w:rPr>
            </w:pPr>
            <w:r>
              <w:rPr>
                <w:rFonts w:hint="eastAsia"/>
                <w:color w:val="000000"/>
                <w:sz w:val="18"/>
                <w:szCs w:val="18"/>
              </w:rPr>
              <w:t>栋号</w:t>
            </w:r>
          </w:p>
        </w:tc>
        <w:tc>
          <w:tcPr>
            <w:tcW w:w="665" w:type="dxa"/>
            <w:vAlign w:val="center"/>
          </w:tcPr>
          <w:p>
            <w:pPr>
              <w:spacing w:line="360" w:lineRule="exact"/>
              <w:jc w:val="center"/>
              <w:rPr>
                <w:color w:val="000000"/>
                <w:sz w:val="18"/>
                <w:szCs w:val="18"/>
              </w:rPr>
            </w:pPr>
            <w:r>
              <w:rPr>
                <w:rFonts w:hint="eastAsia"/>
                <w:color w:val="000000"/>
                <w:sz w:val="18"/>
                <w:szCs w:val="18"/>
              </w:rPr>
              <w:t>涉及</w:t>
            </w:r>
          </w:p>
          <w:p>
            <w:pPr>
              <w:spacing w:line="360" w:lineRule="exact"/>
              <w:jc w:val="center"/>
              <w:rPr>
                <w:color w:val="000000"/>
                <w:sz w:val="18"/>
                <w:szCs w:val="18"/>
              </w:rPr>
            </w:pPr>
            <w:r>
              <w:rPr>
                <w:rFonts w:hint="eastAsia"/>
                <w:color w:val="000000"/>
                <w:sz w:val="18"/>
                <w:szCs w:val="18"/>
              </w:rPr>
              <w:t>楼层</w:t>
            </w:r>
          </w:p>
        </w:tc>
        <w:tc>
          <w:tcPr>
            <w:tcW w:w="673" w:type="dxa"/>
            <w:vAlign w:val="center"/>
          </w:tcPr>
          <w:p>
            <w:pPr>
              <w:spacing w:line="360" w:lineRule="exact"/>
              <w:jc w:val="center"/>
              <w:rPr>
                <w:color w:val="000000"/>
                <w:sz w:val="18"/>
                <w:szCs w:val="18"/>
              </w:rPr>
            </w:pPr>
            <w:r>
              <w:rPr>
                <w:rFonts w:hint="eastAsia"/>
                <w:color w:val="000000"/>
                <w:sz w:val="18"/>
                <w:szCs w:val="18"/>
              </w:rPr>
              <w:t>权证用途</w:t>
            </w:r>
          </w:p>
        </w:tc>
        <w:tc>
          <w:tcPr>
            <w:tcW w:w="941" w:type="dxa"/>
            <w:vAlign w:val="center"/>
          </w:tcPr>
          <w:p>
            <w:pPr>
              <w:spacing w:line="360" w:lineRule="exact"/>
              <w:jc w:val="center"/>
              <w:rPr>
                <w:color w:val="000000"/>
                <w:sz w:val="18"/>
                <w:szCs w:val="18"/>
              </w:rPr>
            </w:pPr>
            <w:r>
              <w:rPr>
                <w:rFonts w:hint="eastAsia"/>
                <w:color w:val="000000"/>
                <w:sz w:val="18"/>
                <w:szCs w:val="18"/>
              </w:rPr>
              <w:t>实际</w:t>
            </w:r>
          </w:p>
          <w:p>
            <w:pPr>
              <w:spacing w:line="360" w:lineRule="exact"/>
              <w:jc w:val="center"/>
              <w:rPr>
                <w:color w:val="000000"/>
                <w:sz w:val="18"/>
                <w:szCs w:val="18"/>
              </w:rPr>
            </w:pPr>
            <w:r>
              <w:rPr>
                <w:rFonts w:hint="eastAsia"/>
                <w:color w:val="000000"/>
                <w:sz w:val="18"/>
                <w:szCs w:val="18"/>
              </w:rPr>
              <w:t>用途</w:t>
            </w:r>
          </w:p>
        </w:tc>
        <w:tc>
          <w:tcPr>
            <w:tcW w:w="682" w:type="dxa"/>
            <w:vAlign w:val="center"/>
          </w:tcPr>
          <w:p>
            <w:pPr>
              <w:spacing w:line="360" w:lineRule="exact"/>
              <w:jc w:val="center"/>
              <w:rPr>
                <w:color w:val="000000"/>
                <w:sz w:val="18"/>
                <w:szCs w:val="18"/>
              </w:rPr>
            </w:pPr>
            <w:r>
              <w:rPr>
                <w:rFonts w:hint="eastAsia"/>
                <w:color w:val="000000"/>
                <w:sz w:val="18"/>
                <w:szCs w:val="18"/>
              </w:rPr>
              <w:t>结构</w:t>
            </w:r>
          </w:p>
        </w:tc>
        <w:tc>
          <w:tcPr>
            <w:tcW w:w="999" w:type="dxa"/>
            <w:vAlign w:val="center"/>
          </w:tcPr>
          <w:p>
            <w:pPr>
              <w:spacing w:line="360" w:lineRule="exact"/>
              <w:jc w:val="center"/>
              <w:rPr>
                <w:color w:val="000000"/>
                <w:sz w:val="18"/>
                <w:szCs w:val="18"/>
              </w:rPr>
            </w:pPr>
            <w:r>
              <w:rPr>
                <w:rFonts w:hint="eastAsia"/>
                <w:color w:val="000000"/>
                <w:sz w:val="18"/>
                <w:szCs w:val="18"/>
              </w:rPr>
              <w:t>面积</w:t>
            </w:r>
          </w:p>
          <w:p>
            <w:pPr>
              <w:spacing w:line="360" w:lineRule="exact"/>
              <w:jc w:val="center"/>
              <w:rPr>
                <w:color w:val="000000"/>
                <w:sz w:val="18"/>
                <w:szCs w:val="18"/>
              </w:rPr>
            </w:pPr>
            <w:r>
              <w:rPr>
                <w:rFonts w:hint="eastAsia"/>
                <w:color w:val="000000"/>
                <w:sz w:val="18"/>
                <w:szCs w:val="18"/>
              </w:rPr>
              <w:t>（㎡）</w:t>
            </w:r>
          </w:p>
        </w:tc>
        <w:tc>
          <w:tcPr>
            <w:tcW w:w="1038" w:type="dxa"/>
            <w:vAlign w:val="center"/>
          </w:tcPr>
          <w:p>
            <w:pPr>
              <w:spacing w:line="360" w:lineRule="exact"/>
              <w:jc w:val="center"/>
              <w:rPr>
                <w:color w:val="000000"/>
                <w:sz w:val="18"/>
                <w:szCs w:val="18"/>
              </w:rPr>
            </w:pPr>
            <w:r>
              <w:rPr>
                <w:rFonts w:hint="eastAsia"/>
                <w:color w:val="000000"/>
                <w:sz w:val="18"/>
                <w:szCs w:val="18"/>
              </w:rPr>
              <w:t>评估单价</w:t>
            </w:r>
          </w:p>
          <w:p>
            <w:pPr>
              <w:spacing w:line="360" w:lineRule="exact"/>
              <w:jc w:val="center"/>
              <w:rPr>
                <w:color w:val="000000"/>
                <w:sz w:val="18"/>
                <w:szCs w:val="18"/>
              </w:rPr>
            </w:pPr>
            <w:r>
              <w:rPr>
                <w:rFonts w:hint="eastAsia"/>
                <w:color w:val="000000"/>
                <w:sz w:val="18"/>
                <w:szCs w:val="18"/>
              </w:rPr>
              <w:t>（元</w:t>
            </w:r>
            <w:r>
              <w:rPr>
                <w:color w:val="000000"/>
                <w:sz w:val="18"/>
                <w:szCs w:val="18"/>
              </w:rPr>
              <w:t>/</w:t>
            </w:r>
            <w:r>
              <w:rPr>
                <w:rFonts w:hint="eastAsia"/>
                <w:color w:val="000000"/>
                <w:sz w:val="18"/>
                <w:szCs w:val="18"/>
              </w:rPr>
              <w:t>㎡）</w:t>
            </w:r>
          </w:p>
        </w:tc>
        <w:tc>
          <w:tcPr>
            <w:tcW w:w="1216" w:type="dxa"/>
            <w:vAlign w:val="center"/>
          </w:tcPr>
          <w:p>
            <w:pPr>
              <w:spacing w:line="360" w:lineRule="exact"/>
              <w:jc w:val="center"/>
              <w:rPr>
                <w:color w:val="000000"/>
                <w:sz w:val="18"/>
                <w:szCs w:val="18"/>
              </w:rPr>
            </w:pPr>
            <w:r>
              <w:rPr>
                <w:rFonts w:hint="eastAsia"/>
                <w:color w:val="000000"/>
                <w:sz w:val="18"/>
                <w:szCs w:val="18"/>
              </w:rPr>
              <w:t>评估总价</w:t>
            </w:r>
          </w:p>
          <w:p>
            <w:pPr>
              <w:spacing w:line="360" w:lineRule="exact"/>
              <w:jc w:val="center"/>
              <w:rPr>
                <w:color w:val="000000"/>
                <w:sz w:val="18"/>
                <w:szCs w:val="18"/>
              </w:rPr>
            </w:pPr>
            <w:r>
              <w:rPr>
                <w:rFonts w:hint="eastAsia"/>
                <w:color w:val="000000"/>
                <w:sz w:val="18"/>
                <w:szCs w:val="18"/>
              </w:rPr>
              <w:t>（元，取整）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1294" w:type="dxa"/>
            <w:vMerge w:val="restart"/>
            <w:vAlign w:val="center"/>
          </w:tcPr>
          <w:p>
            <w:pPr>
              <w:spacing w:line="360" w:lineRule="exact"/>
              <w:jc w:val="center"/>
              <w:rPr>
                <w:color w:val="000000"/>
                <w:sz w:val="18"/>
                <w:szCs w:val="18"/>
              </w:rPr>
            </w:pPr>
            <w:r>
              <w:rPr>
                <w:rFonts w:hint="eastAsia"/>
                <w:color w:val="000000"/>
                <w:sz w:val="18"/>
                <w:szCs w:val="18"/>
              </w:rPr>
              <w:t>成国用（</w:t>
            </w:r>
            <w:r>
              <w:rPr>
                <w:color w:val="000000"/>
                <w:sz w:val="18"/>
                <w:szCs w:val="18"/>
              </w:rPr>
              <w:t>2005</w:t>
            </w:r>
            <w:r>
              <w:rPr>
                <w:rFonts w:hint="eastAsia"/>
                <w:color w:val="000000"/>
                <w:sz w:val="18"/>
                <w:szCs w:val="18"/>
              </w:rPr>
              <w:t>）第</w:t>
            </w:r>
            <w:r>
              <w:rPr>
                <w:color w:val="000000"/>
                <w:sz w:val="18"/>
                <w:szCs w:val="18"/>
              </w:rPr>
              <w:t>866</w:t>
            </w:r>
            <w:r>
              <w:rPr>
                <w:rFonts w:hint="eastAsia"/>
                <w:color w:val="000000"/>
                <w:sz w:val="18"/>
                <w:szCs w:val="18"/>
              </w:rPr>
              <w:t>号；蓉房权证成监字第</w:t>
            </w:r>
            <w:r>
              <w:rPr>
                <w:color w:val="000000"/>
                <w:sz w:val="18"/>
                <w:szCs w:val="18"/>
              </w:rPr>
              <w:t>0998455</w:t>
            </w:r>
            <w:r>
              <w:rPr>
                <w:rFonts w:hint="eastAsia"/>
                <w:color w:val="000000"/>
                <w:sz w:val="18"/>
                <w:szCs w:val="18"/>
              </w:rPr>
              <w:t>号、成房权证监证字第</w:t>
            </w:r>
            <w:r>
              <w:rPr>
                <w:color w:val="000000"/>
                <w:sz w:val="18"/>
                <w:szCs w:val="18"/>
              </w:rPr>
              <w:t>2069860</w:t>
            </w:r>
            <w:r>
              <w:rPr>
                <w:rFonts w:hint="eastAsia"/>
                <w:color w:val="000000"/>
                <w:sz w:val="18"/>
                <w:szCs w:val="18"/>
              </w:rPr>
              <w:t>、</w:t>
            </w:r>
            <w:r>
              <w:rPr>
                <w:color w:val="000000"/>
                <w:sz w:val="18"/>
                <w:szCs w:val="18"/>
              </w:rPr>
              <w:t>2069857</w:t>
            </w:r>
            <w:r>
              <w:rPr>
                <w:rFonts w:hint="eastAsia"/>
                <w:color w:val="000000"/>
                <w:sz w:val="18"/>
                <w:szCs w:val="18"/>
              </w:rPr>
              <w:t>、</w:t>
            </w:r>
            <w:r>
              <w:rPr>
                <w:color w:val="000000"/>
                <w:sz w:val="18"/>
                <w:szCs w:val="18"/>
              </w:rPr>
              <w:t>2069856</w:t>
            </w:r>
            <w:r>
              <w:rPr>
                <w:rFonts w:hint="eastAsia"/>
                <w:color w:val="000000"/>
                <w:sz w:val="18"/>
                <w:szCs w:val="18"/>
              </w:rPr>
              <w:t>号</w:t>
            </w:r>
          </w:p>
        </w:tc>
        <w:tc>
          <w:tcPr>
            <w:tcW w:w="654" w:type="dxa"/>
            <w:vAlign w:val="center"/>
          </w:tcPr>
          <w:p>
            <w:pPr>
              <w:spacing w:line="360" w:lineRule="exact"/>
              <w:jc w:val="center"/>
              <w:rPr>
                <w:color w:val="000000"/>
                <w:sz w:val="18"/>
                <w:szCs w:val="18"/>
              </w:rPr>
            </w:pPr>
            <w:r>
              <w:rPr>
                <w:rFonts w:hint="eastAsia"/>
                <w:color w:val="000000"/>
                <w:sz w:val="18"/>
                <w:szCs w:val="18"/>
              </w:rPr>
              <w:t>第</w:t>
            </w:r>
            <w:r>
              <w:rPr>
                <w:color w:val="000000"/>
                <w:sz w:val="18"/>
                <w:szCs w:val="18"/>
              </w:rPr>
              <w:t>1</w:t>
            </w:r>
            <w:r>
              <w:rPr>
                <w:rFonts w:hint="eastAsia"/>
                <w:color w:val="000000"/>
                <w:sz w:val="18"/>
                <w:szCs w:val="18"/>
              </w:rPr>
              <w:t>类</w:t>
            </w:r>
          </w:p>
        </w:tc>
        <w:tc>
          <w:tcPr>
            <w:tcW w:w="665" w:type="dxa"/>
            <w:vAlign w:val="center"/>
          </w:tcPr>
          <w:p>
            <w:pPr>
              <w:spacing w:line="360" w:lineRule="exact"/>
              <w:jc w:val="center"/>
              <w:rPr>
                <w:color w:val="000000"/>
                <w:sz w:val="18"/>
                <w:szCs w:val="18"/>
              </w:rPr>
            </w:pPr>
            <w:r>
              <w:rPr>
                <w:color w:val="000000"/>
                <w:sz w:val="18"/>
                <w:szCs w:val="18"/>
              </w:rPr>
              <w:t>1</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2</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1</w:t>
            </w:r>
            <w:r>
              <w:rPr>
                <w:rFonts w:hint="eastAsia"/>
                <w:color w:val="000000"/>
                <w:sz w:val="18"/>
                <w:szCs w:val="18"/>
              </w:rPr>
              <w:t>层</w:t>
            </w:r>
          </w:p>
        </w:tc>
        <w:tc>
          <w:tcPr>
            <w:tcW w:w="673" w:type="dxa"/>
            <w:vAlign w:val="center"/>
          </w:tcPr>
          <w:p>
            <w:pPr>
              <w:spacing w:line="360" w:lineRule="exact"/>
              <w:jc w:val="center"/>
              <w:rPr>
                <w:color w:val="000000"/>
                <w:sz w:val="18"/>
                <w:szCs w:val="18"/>
              </w:rPr>
            </w:pPr>
            <w:r>
              <w:rPr>
                <w:rFonts w:hint="eastAsia"/>
                <w:color w:val="000000"/>
                <w:sz w:val="18"/>
                <w:szCs w:val="18"/>
              </w:rPr>
              <w:t>工厂</w:t>
            </w:r>
          </w:p>
        </w:tc>
        <w:tc>
          <w:tcPr>
            <w:tcW w:w="941" w:type="dxa"/>
            <w:vAlign w:val="center"/>
          </w:tcPr>
          <w:p>
            <w:pPr>
              <w:spacing w:line="360" w:lineRule="exact"/>
              <w:jc w:val="center"/>
              <w:rPr>
                <w:color w:val="000000"/>
                <w:sz w:val="18"/>
                <w:szCs w:val="18"/>
              </w:rPr>
            </w:pPr>
            <w:r>
              <w:rPr>
                <w:rFonts w:hint="eastAsia"/>
                <w:color w:val="000000"/>
                <w:sz w:val="18"/>
                <w:szCs w:val="18"/>
              </w:rPr>
              <w:t>汽车销售展厅</w:t>
            </w:r>
          </w:p>
        </w:tc>
        <w:tc>
          <w:tcPr>
            <w:tcW w:w="682" w:type="dxa"/>
            <w:vAlign w:val="center"/>
          </w:tcPr>
          <w:p>
            <w:pPr>
              <w:spacing w:line="360" w:lineRule="exact"/>
              <w:jc w:val="center"/>
              <w:rPr>
                <w:color w:val="000000"/>
                <w:sz w:val="18"/>
                <w:szCs w:val="18"/>
              </w:rPr>
            </w:pPr>
            <w:r>
              <w:rPr>
                <w:rFonts w:hint="eastAsia"/>
                <w:color w:val="000000"/>
                <w:sz w:val="18"/>
                <w:szCs w:val="18"/>
              </w:rPr>
              <w:t>钢混</w:t>
            </w:r>
          </w:p>
        </w:tc>
        <w:tc>
          <w:tcPr>
            <w:tcW w:w="999" w:type="dxa"/>
            <w:vAlign w:val="center"/>
          </w:tcPr>
          <w:p>
            <w:pPr>
              <w:spacing w:line="360" w:lineRule="exact"/>
              <w:jc w:val="center"/>
              <w:rPr>
                <w:color w:val="000000"/>
                <w:sz w:val="18"/>
                <w:szCs w:val="18"/>
              </w:rPr>
            </w:pPr>
            <w:r>
              <w:rPr>
                <w:color w:val="000000"/>
                <w:sz w:val="18"/>
                <w:szCs w:val="18"/>
              </w:rPr>
              <w:t>8956.16</w:t>
            </w:r>
          </w:p>
        </w:tc>
        <w:tc>
          <w:tcPr>
            <w:tcW w:w="1038" w:type="dxa"/>
            <w:vAlign w:val="center"/>
          </w:tcPr>
          <w:p>
            <w:pPr>
              <w:spacing w:line="360" w:lineRule="exact"/>
              <w:jc w:val="center"/>
              <w:rPr>
                <w:color w:val="000000"/>
                <w:sz w:val="18"/>
                <w:szCs w:val="18"/>
              </w:rPr>
            </w:pPr>
            <w:r>
              <w:rPr>
                <w:color w:val="000000"/>
                <w:sz w:val="18"/>
                <w:szCs w:val="18"/>
              </w:rPr>
              <w:t>6478</w:t>
            </w:r>
          </w:p>
        </w:tc>
        <w:tc>
          <w:tcPr>
            <w:tcW w:w="1216" w:type="dxa"/>
            <w:vAlign w:val="center"/>
          </w:tcPr>
          <w:p>
            <w:pPr>
              <w:spacing w:line="360" w:lineRule="exact"/>
              <w:jc w:val="center"/>
              <w:rPr>
                <w:color w:val="000000"/>
                <w:sz w:val="18"/>
                <w:szCs w:val="18"/>
              </w:rPr>
            </w:pPr>
            <w:r>
              <w:rPr>
                <w:color w:val="000000"/>
                <w:sz w:val="18"/>
                <w:szCs w:val="18"/>
              </w:rPr>
              <w:fldChar w:fldCharType="begin"/>
            </w:r>
            <w:r>
              <w:rPr>
                <w:color w:val="000000"/>
                <w:sz w:val="18"/>
                <w:szCs w:val="18"/>
              </w:rPr>
              <w:instrText xml:space="preserve"> =PRODUCT(LEFT) \# "0" </w:instrText>
            </w:r>
            <w:r>
              <w:rPr>
                <w:color w:val="000000"/>
                <w:sz w:val="18"/>
                <w:szCs w:val="18"/>
              </w:rPr>
              <w:fldChar w:fldCharType="separate"/>
            </w:r>
            <w:r>
              <w:rPr>
                <w:color w:val="000000"/>
                <w:sz w:val="18"/>
                <w:szCs w:val="18"/>
              </w:rPr>
              <w:t>58018004</w:t>
            </w:r>
            <w:r>
              <w:rPr>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1294" w:type="dxa"/>
            <w:vMerge w:val="continue"/>
          </w:tcPr>
          <w:p>
            <w:pPr>
              <w:spacing w:line="360" w:lineRule="exact"/>
              <w:jc w:val="center"/>
              <w:rPr>
                <w:color w:val="000000"/>
                <w:sz w:val="18"/>
                <w:szCs w:val="18"/>
              </w:rPr>
            </w:pPr>
          </w:p>
        </w:tc>
        <w:tc>
          <w:tcPr>
            <w:tcW w:w="654" w:type="dxa"/>
            <w:vAlign w:val="center"/>
          </w:tcPr>
          <w:p>
            <w:pPr>
              <w:spacing w:line="360" w:lineRule="exact"/>
              <w:jc w:val="center"/>
              <w:rPr>
                <w:color w:val="000000"/>
                <w:sz w:val="18"/>
                <w:szCs w:val="18"/>
              </w:rPr>
            </w:pPr>
            <w:r>
              <w:rPr>
                <w:rFonts w:hint="eastAsia"/>
                <w:color w:val="000000"/>
                <w:sz w:val="18"/>
                <w:szCs w:val="18"/>
              </w:rPr>
              <w:t>第</w:t>
            </w:r>
            <w:r>
              <w:rPr>
                <w:color w:val="000000"/>
                <w:sz w:val="18"/>
                <w:szCs w:val="18"/>
              </w:rPr>
              <w:t>2</w:t>
            </w:r>
            <w:r>
              <w:rPr>
                <w:rFonts w:hint="eastAsia"/>
                <w:color w:val="000000"/>
                <w:sz w:val="18"/>
                <w:szCs w:val="18"/>
              </w:rPr>
              <w:t>类</w:t>
            </w:r>
          </w:p>
        </w:tc>
        <w:tc>
          <w:tcPr>
            <w:tcW w:w="665" w:type="dxa"/>
            <w:vAlign w:val="center"/>
          </w:tcPr>
          <w:p>
            <w:pPr>
              <w:spacing w:line="360" w:lineRule="exact"/>
              <w:jc w:val="center"/>
              <w:rPr>
                <w:color w:val="000000"/>
                <w:sz w:val="18"/>
                <w:szCs w:val="18"/>
              </w:rPr>
            </w:pPr>
            <w:r>
              <w:rPr>
                <w:color w:val="000000"/>
                <w:sz w:val="18"/>
                <w:szCs w:val="18"/>
              </w:rPr>
              <w:t>1</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2</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2-3</w:t>
            </w:r>
            <w:r>
              <w:rPr>
                <w:rFonts w:hint="eastAsia"/>
                <w:color w:val="000000"/>
                <w:sz w:val="18"/>
                <w:szCs w:val="18"/>
              </w:rPr>
              <w:t>层</w:t>
            </w:r>
          </w:p>
        </w:tc>
        <w:tc>
          <w:tcPr>
            <w:tcW w:w="673" w:type="dxa"/>
            <w:vAlign w:val="center"/>
          </w:tcPr>
          <w:p>
            <w:pPr>
              <w:spacing w:line="360" w:lineRule="exact"/>
              <w:jc w:val="center"/>
              <w:rPr>
                <w:color w:val="000000"/>
                <w:sz w:val="18"/>
                <w:szCs w:val="18"/>
              </w:rPr>
            </w:pPr>
            <w:r>
              <w:rPr>
                <w:rFonts w:hint="eastAsia"/>
                <w:color w:val="000000"/>
                <w:sz w:val="18"/>
                <w:szCs w:val="18"/>
              </w:rPr>
              <w:t>工厂</w:t>
            </w:r>
          </w:p>
        </w:tc>
        <w:tc>
          <w:tcPr>
            <w:tcW w:w="941" w:type="dxa"/>
            <w:vAlign w:val="center"/>
          </w:tcPr>
          <w:p>
            <w:pPr>
              <w:spacing w:line="360" w:lineRule="exact"/>
              <w:jc w:val="center"/>
              <w:rPr>
                <w:color w:val="000000"/>
                <w:sz w:val="18"/>
                <w:szCs w:val="18"/>
              </w:rPr>
            </w:pPr>
            <w:r>
              <w:rPr>
                <w:rFonts w:hint="eastAsia"/>
                <w:color w:val="000000"/>
                <w:sz w:val="18"/>
                <w:szCs w:val="18"/>
              </w:rPr>
              <w:t>空置及办公</w:t>
            </w:r>
          </w:p>
        </w:tc>
        <w:tc>
          <w:tcPr>
            <w:tcW w:w="682" w:type="dxa"/>
            <w:vAlign w:val="center"/>
          </w:tcPr>
          <w:p>
            <w:pPr>
              <w:spacing w:line="360" w:lineRule="exact"/>
              <w:jc w:val="center"/>
              <w:rPr>
                <w:color w:val="000000"/>
                <w:sz w:val="18"/>
                <w:szCs w:val="18"/>
              </w:rPr>
            </w:pPr>
            <w:r>
              <w:rPr>
                <w:rFonts w:hint="eastAsia"/>
                <w:color w:val="000000"/>
                <w:sz w:val="18"/>
                <w:szCs w:val="18"/>
              </w:rPr>
              <w:t>钢混</w:t>
            </w:r>
          </w:p>
        </w:tc>
        <w:tc>
          <w:tcPr>
            <w:tcW w:w="999" w:type="dxa"/>
            <w:vAlign w:val="center"/>
          </w:tcPr>
          <w:p>
            <w:pPr>
              <w:spacing w:line="360" w:lineRule="exact"/>
              <w:jc w:val="center"/>
              <w:rPr>
                <w:color w:val="000000"/>
                <w:sz w:val="18"/>
                <w:szCs w:val="18"/>
              </w:rPr>
            </w:pPr>
            <w:r>
              <w:rPr>
                <w:color w:val="000000"/>
                <w:sz w:val="18"/>
                <w:szCs w:val="18"/>
              </w:rPr>
              <w:t>14782.84</w:t>
            </w:r>
          </w:p>
        </w:tc>
        <w:tc>
          <w:tcPr>
            <w:tcW w:w="1038" w:type="dxa"/>
            <w:vAlign w:val="center"/>
          </w:tcPr>
          <w:p>
            <w:pPr>
              <w:spacing w:line="360" w:lineRule="exact"/>
              <w:jc w:val="center"/>
              <w:rPr>
                <w:color w:val="000000"/>
                <w:sz w:val="18"/>
                <w:szCs w:val="18"/>
              </w:rPr>
            </w:pPr>
            <w:r>
              <w:rPr>
                <w:color w:val="000000"/>
                <w:sz w:val="18"/>
                <w:szCs w:val="18"/>
              </w:rPr>
              <w:t>4860</w:t>
            </w:r>
          </w:p>
        </w:tc>
        <w:tc>
          <w:tcPr>
            <w:tcW w:w="1216" w:type="dxa"/>
            <w:vAlign w:val="center"/>
          </w:tcPr>
          <w:p>
            <w:pPr>
              <w:spacing w:line="360" w:lineRule="exact"/>
              <w:jc w:val="center"/>
              <w:rPr>
                <w:color w:val="000000"/>
                <w:sz w:val="18"/>
                <w:szCs w:val="18"/>
              </w:rPr>
            </w:pPr>
            <w:r>
              <w:rPr>
                <w:color w:val="000000"/>
                <w:sz w:val="18"/>
                <w:szCs w:val="18"/>
              </w:rPr>
              <w:fldChar w:fldCharType="begin"/>
            </w:r>
            <w:r>
              <w:rPr>
                <w:color w:val="000000"/>
                <w:sz w:val="18"/>
                <w:szCs w:val="18"/>
              </w:rPr>
              <w:instrText xml:space="preserve"> =PRODUCT(LEFT) \# "0" </w:instrText>
            </w:r>
            <w:r>
              <w:rPr>
                <w:color w:val="000000"/>
                <w:sz w:val="18"/>
                <w:szCs w:val="18"/>
              </w:rPr>
              <w:fldChar w:fldCharType="separate"/>
            </w:r>
            <w:r>
              <w:rPr>
                <w:color w:val="000000"/>
                <w:sz w:val="18"/>
                <w:szCs w:val="18"/>
              </w:rPr>
              <w:t>71844602</w:t>
            </w:r>
            <w:r>
              <w:rPr>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vMerge w:val="continue"/>
          </w:tcPr>
          <w:p>
            <w:pPr>
              <w:spacing w:line="360" w:lineRule="exact"/>
              <w:jc w:val="center"/>
              <w:rPr>
                <w:color w:val="000000"/>
                <w:sz w:val="18"/>
                <w:szCs w:val="18"/>
              </w:rPr>
            </w:pPr>
          </w:p>
        </w:tc>
        <w:tc>
          <w:tcPr>
            <w:tcW w:w="654" w:type="dxa"/>
            <w:vAlign w:val="center"/>
          </w:tcPr>
          <w:p>
            <w:pPr>
              <w:spacing w:line="360" w:lineRule="exact"/>
              <w:jc w:val="center"/>
              <w:rPr>
                <w:color w:val="000000"/>
                <w:sz w:val="18"/>
                <w:szCs w:val="18"/>
              </w:rPr>
            </w:pPr>
            <w:r>
              <w:rPr>
                <w:rFonts w:hint="eastAsia"/>
                <w:color w:val="000000"/>
                <w:sz w:val="18"/>
                <w:szCs w:val="18"/>
              </w:rPr>
              <w:t>第</w:t>
            </w:r>
            <w:r>
              <w:rPr>
                <w:color w:val="000000"/>
                <w:sz w:val="18"/>
                <w:szCs w:val="18"/>
              </w:rPr>
              <w:t>3</w:t>
            </w:r>
            <w:r>
              <w:rPr>
                <w:rFonts w:hint="eastAsia"/>
                <w:color w:val="000000"/>
                <w:sz w:val="18"/>
                <w:szCs w:val="18"/>
              </w:rPr>
              <w:t>类</w:t>
            </w:r>
          </w:p>
        </w:tc>
        <w:tc>
          <w:tcPr>
            <w:tcW w:w="665" w:type="dxa"/>
            <w:vAlign w:val="center"/>
          </w:tcPr>
          <w:p>
            <w:pPr>
              <w:spacing w:line="360" w:lineRule="exact"/>
              <w:jc w:val="center"/>
              <w:rPr>
                <w:color w:val="000000"/>
                <w:sz w:val="18"/>
                <w:szCs w:val="18"/>
              </w:rPr>
            </w:pPr>
            <w:r>
              <w:rPr>
                <w:color w:val="000000"/>
                <w:sz w:val="18"/>
                <w:szCs w:val="18"/>
              </w:rPr>
              <w:t>3</w:t>
            </w:r>
            <w:r>
              <w:rPr>
                <w:rFonts w:hint="eastAsia"/>
                <w:color w:val="000000"/>
                <w:sz w:val="18"/>
                <w:szCs w:val="18"/>
              </w:rPr>
              <w:t>、</w:t>
            </w:r>
            <w:r>
              <w:rPr>
                <w:color w:val="000000"/>
                <w:sz w:val="18"/>
                <w:szCs w:val="18"/>
              </w:rPr>
              <w:t>4</w:t>
            </w:r>
            <w:r>
              <w:rPr>
                <w:rFonts w:hint="eastAsia"/>
                <w:color w:val="000000"/>
                <w:sz w:val="18"/>
                <w:szCs w:val="18"/>
              </w:rPr>
              <w:t>、</w:t>
            </w:r>
            <w:r>
              <w:rPr>
                <w:color w:val="000000"/>
                <w:sz w:val="18"/>
                <w:szCs w:val="18"/>
              </w:rPr>
              <w:t>5</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1</w:t>
            </w:r>
            <w:r>
              <w:rPr>
                <w:rFonts w:hint="eastAsia"/>
                <w:color w:val="000000"/>
                <w:sz w:val="18"/>
                <w:szCs w:val="18"/>
              </w:rPr>
              <w:t>、</w:t>
            </w:r>
            <w:r>
              <w:rPr>
                <w:color w:val="000000"/>
                <w:sz w:val="18"/>
                <w:szCs w:val="18"/>
              </w:rPr>
              <w:t>3</w:t>
            </w:r>
            <w:r>
              <w:rPr>
                <w:rFonts w:hint="eastAsia"/>
                <w:color w:val="000000"/>
                <w:sz w:val="18"/>
                <w:szCs w:val="18"/>
              </w:rPr>
              <w:t>栋</w:t>
            </w:r>
          </w:p>
        </w:tc>
        <w:tc>
          <w:tcPr>
            <w:tcW w:w="665" w:type="dxa"/>
            <w:vAlign w:val="center"/>
          </w:tcPr>
          <w:p>
            <w:pPr>
              <w:spacing w:line="360" w:lineRule="exact"/>
              <w:jc w:val="center"/>
              <w:rPr>
                <w:color w:val="000000"/>
                <w:sz w:val="18"/>
                <w:szCs w:val="18"/>
              </w:rPr>
            </w:pPr>
            <w:r>
              <w:rPr>
                <w:color w:val="000000"/>
                <w:sz w:val="18"/>
                <w:szCs w:val="18"/>
              </w:rPr>
              <w:t>1-6</w:t>
            </w:r>
            <w:r>
              <w:rPr>
                <w:rFonts w:hint="eastAsia"/>
                <w:color w:val="000000"/>
                <w:sz w:val="18"/>
                <w:szCs w:val="18"/>
              </w:rPr>
              <w:t>层</w:t>
            </w:r>
          </w:p>
        </w:tc>
        <w:tc>
          <w:tcPr>
            <w:tcW w:w="673" w:type="dxa"/>
            <w:vAlign w:val="center"/>
          </w:tcPr>
          <w:p>
            <w:pPr>
              <w:spacing w:line="360" w:lineRule="exact"/>
              <w:jc w:val="center"/>
              <w:rPr>
                <w:color w:val="000000"/>
                <w:sz w:val="18"/>
                <w:szCs w:val="18"/>
              </w:rPr>
            </w:pPr>
            <w:r>
              <w:rPr>
                <w:rFonts w:hint="eastAsia"/>
                <w:color w:val="000000"/>
                <w:sz w:val="18"/>
                <w:szCs w:val="18"/>
              </w:rPr>
              <w:t>办公、其它、住宅</w:t>
            </w:r>
          </w:p>
        </w:tc>
        <w:tc>
          <w:tcPr>
            <w:tcW w:w="941" w:type="dxa"/>
            <w:vAlign w:val="center"/>
          </w:tcPr>
          <w:p>
            <w:pPr>
              <w:spacing w:line="360" w:lineRule="exact"/>
              <w:jc w:val="center"/>
              <w:rPr>
                <w:color w:val="000000"/>
                <w:sz w:val="18"/>
                <w:szCs w:val="18"/>
              </w:rPr>
            </w:pPr>
            <w:r>
              <w:rPr>
                <w:rFonts w:hint="eastAsia"/>
                <w:color w:val="000000"/>
                <w:sz w:val="18"/>
                <w:szCs w:val="18"/>
              </w:rPr>
              <w:t>办公、摩托车展厅、售车直播间</w:t>
            </w:r>
          </w:p>
        </w:tc>
        <w:tc>
          <w:tcPr>
            <w:tcW w:w="682" w:type="dxa"/>
            <w:vAlign w:val="center"/>
          </w:tcPr>
          <w:p>
            <w:pPr>
              <w:spacing w:line="360" w:lineRule="exact"/>
              <w:jc w:val="center"/>
              <w:rPr>
                <w:color w:val="000000"/>
                <w:sz w:val="18"/>
                <w:szCs w:val="18"/>
              </w:rPr>
            </w:pPr>
            <w:r>
              <w:rPr>
                <w:rFonts w:hint="eastAsia"/>
                <w:color w:val="000000"/>
                <w:sz w:val="18"/>
                <w:szCs w:val="18"/>
              </w:rPr>
              <w:t>钢混</w:t>
            </w:r>
          </w:p>
        </w:tc>
        <w:tc>
          <w:tcPr>
            <w:tcW w:w="999" w:type="dxa"/>
            <w:vAlign w:val="center"/>
          </w:tcPr>
          <w:p>
            <w:pPr>
              <w:spacing w:line="360" w:lineRule="exact"/>
              <w:jc w:val="center"/>
              <w:rPr>
                <w:color w:val="000000"/>
                <w:sz w:val="18"/>
                <w:szCs w:val="18"/>
              </w:rPr>
            </w:pPr>
            <w:r>
              <w:rPr>
                <w:color w:val="000000"/>
                <w:sz w:val="18"/>
                <w:szCs w:val="18"/>
              </w:rPr>
              <w:t>7670</w:t>
            </w:r>
          </w:p>
        </w:tc>
        <w:tc>
          <w:tcPr>
            <w:tcW w:w="1038" w:type="dxa"/>
            <w:vAlign w:val="center"/>
          </w:tcPr>
          <w:p>
            <w:pPr>
              <w:spacing w:line="360" w:lineRule="exact"/>
              <w:jc w:val="center"/>
              <w:rPr>
                <w:color w:val="000000"/>
                <w:sz w:val="18"/>
                <w:szCs w:val="18"/>
              </w:rPr>
            </w:pPr>
            <w:r>
              <w:rPr>
                <w:color w:val="000000"/>
                <w:sz w:val="18"/>
                <w:szCs w:val="18"/>
              </w:rPr>
              <w:t>5222</w:t>
            </w:r>
          </w:p>
        </w:tc>
        <w:tc>
          <w:tcPr>
            <w:tcW w:w="1216" w:type="dxa"/>
            <w:vAlign w:val="center"/>
          </w:tcPr>
          <w:p>
            <w:pPr>
              <w:spacing w:line="360" w:lineRule="exact"/>
              <w:jc w:val="center"/>
              <w:rPr>
                <w:color w:val="000000"/>
                <w:sz w:val="18"/>
                <w:szCs w:val="18"/>
              </w:rPr>
            </w:pPr>
            <w:r>
              <w:rPr>
                <w:color w:val="000000"/>
                <w:sz w:val="18"/>
                <w:szCs w:val="18"/>
              </w:rPr>
              <w:fldChar w:fldCharType="begin"/>
            </w:r>
            <w:r>
              <w:rPr>
                <w:color w:val="000000"/>
                <w:sz w:val="18"/>
                <w:szCs w:val="18"/>
              </w:rPr>
              <w:instrText xml:space="preserve"> =PRODUCT(LEFT) \# "0" </w:instrText>
            </w:r>
            <w:r>
              <w:rPr>
                <w:color w:val="000000"/>
                <w:sz w:val="18"/>
                <w:szCs w:val="18"/>
              </w:rPr>
              <w:fldChar w:fldCharType="separate"/>
            </w:r>
            <w:r>
              <w:rPr>
                <w:color w:val="000000"/>
                <w:sz w:val="18"/>
                <w:szCs w:val="18"/>
              </w:rPr>
              <w:t>40052740</w:t>
            </w:r>
            <w:r>
              <w:rPr>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4" w:type="dxa"/>
          </w:tcPr>
          <w:p>
            <w:pPr>
              <w:spacing w:line="360" w:lineRule="exact"/>
              <w:jc w:val="center"/>
              <w:rPr>
                <w:b/>
                <w:color w:val="000000"/>
                <w:sz w:val="18"/>
                <w:szCs w:val="18"/>
              </w:rPr>
            </w:pPr>
            <w:r>
              <w:rPr>
                <w:rFonts w:hint="eastAsia"/>
                <w:b/>
                <w:color w:val="000000"/>
                <w:sz w:val="18"/>
                <w:szCs w:val="18"/>
              </w:rPr>
              <w:t>合计</w:t>
            </w:r>
          </w:p>
        </w:tc>
        <w:tc>
          <w:tcPr>
            <w:tcW w:w="654" w:type="dxa"/>
            <w:vAlign w:val="center"/>
          </w:tcPr>
          <w:p>
            <w:pPr>
              <w:spacing w:line="360" w:lineRule="exact"/>
              <w:jc w:val="center"/>
              <w:rPr>
                <w:b/>
                <w:color w:val="000000"/>
                <w:sz w:val="18"/>
                <w:szCs w:val="18"/>
              </w:rPr>
            </w:pPr>
            <w:r>
              <w:rPr>
                <w:b/>
                <w:color w:val="000000"/>
                <w:sz w:val="18"/>
                <w:szCs w:val="18"/>
              </w:rPr>
              <w:t>/</w:t>
            </w:r>
          </w:p>
        </w:tc>
        <w:tc>
          <w:tcPr>
            <w:tcW w:w="665" w:type="dxa"/>
            <w:vAlign w:val="center"/>
          </w:tcPr>
          <w:p>
            <w:pPr>
              <w:spacing w:line="360" w:lineRule="exact"/>
              <w:jc w:val="center"/>
              <w:rPr>
                <w:b/>
                <w:color w:val="000000"/>
                <w:sz w:val="18"/>
                <w:szCs w:val="18"/>
              </w:rPr>
            </w:pPr>
            <w:r>
              <w:rPr>
                <w:b/>
                <w:color w:val="000000"/>
                <w:sz w:val="18"/>
                <w:szCs w:val="18"/>
              </w:rPr>
              <w:t>/</w:t>
            </w:r>
          </w:p>
        </w:tc>
        <w:tc>
          <w:tcPr>
            <w:tcW w:w="665" w:type="dxa"/>
            <w:vAlign w:val="center"/>
          </w:tcPr>
          <w:p>
            <w:pPr>
              <w:spacing w:line="360" w:lineRule="exact"/>
              <w:jc w:val="center"/>
              <w:rPr>
                <w:b/>
                <w:color w:val="000000"/>
                <w:sz w:val="18"/>
                <w:szCs w:val="18"/>
              </w:rPr>
            </w:pPr>
            <w:r>
              <w:rPr>
                <w:b/>
                <w:color w:val="000000"/>
                <w:sz w:val="18"/>
                <w:szCs w:val="18"/>
              </w:rPr>
              <w:t>/</w:t>
            </w:r>
          </w:p>
        </w:tc>
        <w:tc>
          <w:tcPr>
            <w:tcW w:w="665" w:type="dxa"/>
            <w:vAlign w:val="center"/>
          </w:tcPr>
          <w:p>
            <w:pPr>
              <w:spacing w:line="360" w:lineRule="exact"/>
              <w:jc w:val="center"/>
              <w:rPr>
                <w:b/>
                <w:color w:val="000000"/>
                <w:sz w:val="18"/>
                <w:szCs w:val="18"/>
              </w:rPr>
            </w:pPr>
            <w:r>
              <w:rPr>
                <w:b/>
                <w:color w:val="000000"/>
                <w:sz w:val="18"/>
                <w:szCs w:val="18"/>
              </w:rPr>
              <w:t>/</w:t>
            </w:r>
          </w:p>
        </w:tc>
        <w:tc>
          <w:tcPr>
            <w:tcW w:w="673" w:type="dxa"/>
            <w:vAlign w:val="center"/>
          </w:tcPr>
          <w:p>
            <w:pPr>
              <w:spacing w:line="360" w:lineRule="exact"/>
              <w:jc w:val="center"/>
              <w:rPr>
                <w:b/>
                <w:color w:val="000000"/>
                <w:sz w:val="18"/>
                <w:szCs w:val="18"/>
              </w:rPr>
            </w:pPr>
            <w:r>
              <w:rPr>
                <w:b/>
                <w:color w:val="000000"/>
                <w:sz w:val="18"/>
                <w:szCs w:val="18"/>
              </w:rPr>
              <w:t>/</w:t>
            </w:r>
          </w:p>
        </w:tc>
        <w:tc>
          <w:tcPr>
            <w:tcW w:w="941" w:type="dxa"/>
            <w:vAlign w:val="center"/>
          </w:tcPr>
          <w:p>
            <w:pPr>
              <w:spacing w:line="360" w:lineRule="exact"/>
              <w:jc w:val="center"/>
              <w:rPr>
                <w:b/>
                <w:color w:val="000000"/>
                <w:sz w:val="18"/>
                <w:szCs w:val="18"/>
              </w:rPr>
            </w:pPr>
            <w:r>
              <w:rPr>
                <w:b/>
                <w:color w:val="000000"/>
                <w:sz w:val="18"/>
                <w:szCs w:val="18"/>
              </w:rPr>
              <w:t>/</w:t>
            </w:r>
          </w:p>
        </w:tc>
        <w:tc>
          <w:tcPr>
            <w:tcW w:w="682" w:type="dxa"/>
            <w:vAlign w:val="center"/>
          </w:tcPr>
          <w:p>
            <w:pPr>
              <w:spacing w:line="360" w:lineRule="exact"/>
              <w:jc w:val="center"/>
              <w:rPr>
                <w:b/>
                <w:color w:val="000000"/>
                <w:sz w:val="18"/>
                <w:szCs w:val="18"/>
              </w:rPr>
            </w:pPr>
            <w:r>
              <w:rPr>
                <w:b/>
                <w:color w:val="000000"/>
                <w:sz w:val="18"/>
                <w:szCs w:val="18"/>
              </w:rPr>
              <w:t>/</w:t>
            </w:r>
          </w:p>
        </w:tc>
        <w:tc>
          <w:tcPr>
            <w:tcW w:w="999" w:type="dxa"/>
            <w:vAlign w:val="center"/>
          </w:tcPr>
          <w:p>
            <w:pPr>
              <w:spacing w:line="360" w:lineRule="exact"/>
              <w:jc w:val="center"/>
              <w:rPr>
                <w:b/>
                <w:color w:val="000000"/>
                <w:sz w:val="18"/>
                <w:szCs w:val="18"/>
              </w:rPr>
            </w:pPr>
            <w:r>
              <w:rPr>
                <w:b/>
                <w:color w:val="000000"/>
                <w:sz w:val="18"/>
                <w:szCs w:val="18"/>
              </w:rPr>
              <w:fldChar w:fldCharType="begin"/>
            </w:r>
            <w:r>
              <w:rPr>
                <w:b/>
                <w:color w:val="000000"/>
                <w:sz w:val="18"/>
                <w:szCs w:val="18"/>
              </w:rPr>
              <w:instrText xml:space="preserve"> =SUM(ABOVE) </w:instrText>
            </w:r>
            <w:r>
              <w:rPr>
                <w:b/>
                <w:color w:val="000000"/>
                <w:sz w:val="18"/>
                <w:szCs w:val="18"/>
              </w:rPr>
              <w:fldChar w:fldCharType="separate"/>
            </w:r>
            <w:r>
              <w:rPr>
                <w:b/>
                <w:color w:val="000000"/>
                <w:sz w:val="18"/>
                <w:szCs w:val="18"/>
              </w:rPr>
              <w:t>31409</w:t>
            </w:r>
            <w:r>
              <w:rPr>
                <w:b/>
                <w:color w:val="000000"/>
                <w:sz w:val="18"/>
                <w:szCs w:val="18"/>
              </w:rPr>
              <w:fldChar w:fldCharType="end"/>
            </w:r>
          </w:p>
        </w:tc>
        <w:tc>
          <w:tcPr>
            <w:tcW w:w="1038" w:type="dxa"/>
            <w:vAlign w:val="center"/>
          </w:tcPr>
          <w:p>
            <w:pPr>
              <w:spacing w:line="360" w:lineRule="exact"/>
              <w:jc w:val="center"/>
              <w:rPr>
                <w:b/>
                <w:color w:val="000000"/>
                <w:sz w:val="18"/>
                <w:szCs w:val="18"/>
              </w:rPr>
            </w:pPr>
            <w:r>
              <w:rPr>
                <w:b/>
                <w:color w:val="000000"/>
                <w:sz w:val="18"/>
                <w:szCs w:val="18"/>
              </w:rPr>
              <w:t>/</w:t>
            </w:r>
          </w:p>
        </w:tc>
        <w:tc>
          <w:tcPr>
            <w:tcW w:w="1216" w:type="dxa"/>
            <w:vAlign w:val="center"/>
          </w:tcPr>
          <w:p>
            <w:pPr>
              <w:spacing w:line="360" w:lineRule="exact"/>
              <w:jc w:val="center"/>
              <w:rPr>
                <w:b/>
                <w:color w:val="000000"/>
                <w:sz w:val="18"/>
                <w:szCs w:val="18"/>
              </w:rPr>
            </w:pPr>
            <w:r>
              <w:rPr>
                <w:b/>
                <w:color w:val="000000"/>
                <w:sz w:val="18"/>
                <w:szCs w:val="18"/>
              </w:rPr>
              <w:fldChar w:fldCharType="begin"/>
            </w:r>
            <w:r>
              <w:rPr>
                <w:b/>
                <w:color w:val="000000"/>
                <w:sz w:val="18"/>
                <w:szCs w:val="18"/>
              </w:rPr>
              <w:instrText xml:space="preserve"> =SUM(ABOVE) </w:instrText>
            </w:r>
            <w:r>
              <w:rPr>
                <w:b/>
                <w:color w:val="000000"/>
                <w:sz w:val="18"/>
                <w:szCs w:val="18"/>
              </w:rPr>
              <w:fldChar w:fldCharType="separate"/>
            </w:r>
            <w:r>
              <w:rPr>
                <w:b/>
                <w:color w:val="000000"/>
                <w:sz w:val="18"/>
                <w:szCs w:val="18"/>
              </w:rPr>
              <w:t>169915346</w:t>
            </w:r>
            <w:r>
              <w:rPr>
                <w:b/>
                <w:color w:val="000000"/>
                <w:sz w:val="18"/>
                <w:szCs w:val="18"/>
              </w:rPr>
              <w:fldChar w:fldCharType="end"/>
            </w:r>
          </w:p>
        </w:tc>
      </w:tr>
    </w:tbl>
    <w:p>
      <w:pPr>
        <w:spacing w:line="500" w:lineRule="exact"/>
        <w:rPr>
          <w:rFonts w:ascii="黑体" w:eastAsia="黑体"/>
          <w:b/>
          <w:bCs/>
          <w:color w:val="000000"/>
          <w:sz w:val="24"/>
        </w:rPr>
      </w:pPr>
      <w:r>
        <w:rPr>
          <w:rFonts w:hint="eastAsia" w:ascii="黑体" w:eastAsia="黑体"/>
          <w:b/>
          <w:bCs/>
          <w:color w:val="000000"/>
          <w:sz w:val="24"/>
        </w:rPr>
        <w:t>十一、注册房地产估价师及估价人员</w:t>
      </w:r>
    </w:p>
    <w:tbl>
      <w:tblPr>
        <w:tblStyle w:val="35"/>
        <w:tblW w:w="9464" w:type="dxa"/>
        <w:tblInd w:w="0" w:type="dxa"/>
        <w:tblLayout w:type="fixed"/>
        <w:tblCellMar>
          <w:top w:w="0" w:type="dxa"/>
          <w:left w:w="108" w:type="dxa"/>
          <w:bottom w:w="0" w:type="dxa"/>
          <w:right w:w="108" w:type="dxa"/>
        </w:tblCellMar>
      </w:tblPr>
      <w:tblGrid>
        <w:gridCol w:w="1495"/>
        <w:gridCol w:w="1402"/>
        <w:gridCol w:w="2616"/>
        <w:gridCol w:w="1805"/>
        <w:gridCol w:w="2146"/>
      </w:tblGrid>
      <w:tr>
        <w:tblPrEx>
          <w:tblCellMar>
            <w:top w:w="0" w:type="dxa"/>
            <w:left w:w="108" w:type="dxa"/>
            <w:bottom w:w="0" w:type="dxa"/>
            <w:right w:w="108" w:type="dxa"/>
          </w:tblCellMar>
        </w:tblPrEx>
        <w:tc>
          <w:tcPr>
            <w:tcW w:w="1495" w:type="dxa"/>
            <w:vAlign w:val="center"/>
          </w:tcPr>
          <w:p>
            <w:pPr>
              <w:pStyle w:val="120"/>
              <w:spacing w:line="1000" w:lineRule="exact"/>
              <w:jc w:val="center"/>
              <w:rPr>
                <w:rFonts w:ascii="Times New Roman" w:hAnsi="Times New Roman" w:cs="Times New Roman"/>
              </w:rPr>
            </w:pPr>
          </w:p>
        </w:tc>
        <w:tc>
          <w:tcPr>
            <w:tcW w:w="1402" w:type="dxa"/>
            <w:vAlign w:val="center"/>
          </w:tcPr>
          <w:p>
            <w:pPr>
              <w:pStyle w:val="120"/>
              <w:spacing w:line="1000" w:lineRule="exact"/>
              <w:jc w:val="center"/>
              <w:rPr>
                <w:rFonts w:ascii="Times New Roman" w:hAnsi="Times New Roman" w:cs="Times New Roman"/>
              </w:rPr>
            </w:pPr>
            <w:r>
              <w:rPr>
                <w:rFonts w:hint="eastAsia" w:ascii="Times New Roman" w:cs="Times New Roman"/>
              </w:rPr>
              <w:t>姓</w:t>
            </w:r>
            <w:r>
              <w:rPr>
                <w:rFonts w:ascii="Times New Roman" w:hAnsi="Times New Roman" w:cs="Times New Roman"/>
              </w:rPr>
              <w:t xml:space="preserve">  </w:t>
            </w:r>
            <w:r>
              <w:rPr>
                <w:rFonts w:hint="eastAsia" w:ascii="Times New Roman" w:cs="Times New Roman"/>
              </w:rPr>
              <w:t>名</w:t>
            </w:r>
          </w:p>
        </w:tc>
        <w:tc>
          <w:tcPr>
            <w:tcW w:w="2616" w:type="dxa"/>
            <w:vAlign w:val="center"/>
          </w:tcPr>
          <w:p>
            <w:pPr>
              <w:pStyle w:val="120"/>
              <w:spacing w:line="1000" w:lineRule="exact"/>
              <w:jc w:val="center"/>
              <w:rPr>
                <w:rFonts w:ascii="Times New Roman" w:hAnsi="Times New Roman" w:cs="Times New Roman"/>
              </w:rPr>
            </w:pPr>
            <w:r>
              <w:rPr>
                <w:rFonts w:hint="eastAsia" w:ascii="Times New Roman" w:cs="Times New Roman"/>
              </w:rPr>
              <w:t>注册号</w:t>
            </w:r>
          </w:p>
        </w:tc>
        <w:tc>
          <w:tcPr>
            <w:tcW w:w="1805" w:type="dxa"/>
            <w:vAlign w:val="center"/>
          </w:tcPr>
          <w:p>
            <w:pPr>
              <w:pStyle w:val="120"/>
              <w:spacing w:line="1000" w:lineRule="exact"/>
              <w:jc w:val="center"/>
              <w:rPr>
                <w:rFonts w:ascii="Times New Roman" w:hAnsi="Times New Roman" w:cs="Times New Roman"/>
              </w:rPr>
            </w:pPr>
            <w:r>
              <w:rPr>
                <w:rFonts w:hint="eastAsia" w:ascii="Times New Roman" w:cs="Times New Roman"/>
              </w:rPr>
              <w:t>签</w:t>
            </w:r>
            <w:r>
              <w:rPr>
                <w:rFonts w:ascii="Times New Roman" w:hAnsi="Times New Roman" w:cs="Times New Roman"/>
              </w:rPr>
              <w:t xml:space="preserve">  </w:t>
            </w:r>
            <w:r>
              <w:rPr>
                <w:rFonts w:hint="eastAsia" w:ascii="Times New Roman" w:cs="Times New Roman"/>
              </w:rPr>
              <w:t>名</w:t>
            </w:r>
          </w:p>
        </w:tc>
        <w:tc>
          <w:tcPr>
            <w:tcW w:w="2146" w:type="dxa"/>
            <w:vAlign w:val="center"/>
          </w:tcPr>
          <w:p>
            <w:pPr>
              <w:pStyle w:val="120"/>
              <w:spacing w:line="1000" w:lineRule="exact"/>
              <w:jc w:val="center"/>
              <w:rPr>
                <w:rFonts w:ascii="Times New Roman" w:hAnsi="Times New Roman" w:cs="Times New Roman"/>
              </w:rPr>
            </w:pPr>
            <w:r>
              <w:rPr>
                <w:rFonts w:hint="eastAsia" w:ascii="Times New Roman" w:cs="Times New Roman"/>
              </w:rPr>
              <w:t>签名日期</w:t>
            </w:r>
          </w:p>
        </w:tc>
      </w:tr>
      <w:tr>
        <w:tblPrEx>
          <w:tblCellMar>
            <w:top w:w="0" w:type="dxa"/>
            <w:left w:w="108" w:type="dxa"/>
            <w:bottom w:w="0" w:type="dxa"/>
            <w:right w:w="108" w:type="dxa"/>
          </w:tblCellMar>
        </w:tblPrEx>
        <w:tc>
          <w:tcPr>
            <w:tcW w:w="1495" w:type="dxa"/>
            <w:vAlign w:val="center"/>
          </w:tcPr>
          <w:p>
            <w:pPr>
              <w:pStyle w:val="120"/>
              <w:spacing w:afterLines="50" w:line="900" w:lineRule="exact"/>
              <w:jc w:val="center"/>
              <w:rPr>
                <w:rFonts w:ascii="Times New Roman" w:hAnsi="Times New Roman" w:cs="Times New Roman"/>
              </w:rPr>
            </w:pPr>
            <w:r>
              <w:rPr>
                <w:rFonts w:hint="eastAsia" w:ascii="Times New Roman" w:hAnsi="Times New Roman" w:cs="Times New Roman"/>
              </w:rPr>
              <w:t>项目负责人</w:t>
            </w:r>
          </w:p>
        </w:tc>
        <w:tc>
          <w:tcPr>
            <w:tcW w:w="1402" w:type="dxa"/>
            <w:vAlign w:val="center"/>
          </w:tcPr>
          <w:p>
            <w:pPr>
              <w:pStyle w:val="120"/>
              <w:spacing w:afterLines="50" w:line="900" w:lineRule="exact"/>
              <w:jc w:val="center"/>
              <w:rPr>
                <w:rFonts w:ascii="Times New Roman" w:hAnsi="Times New Roman" w:cs="Times New Roman"/>
              </w:rPr>
            </w:pPr>
            <w:r>
              <w:rPr>
                <w:rFonts w:hint="eastAsia" w:ascii="Times New Roman" w:hAnsi="Times New Roman" w:cs="Times New Roman"/>
              </w:rPr>
              <w:t>文</w:t>
            </w:r>
            <w:r>
              <w:rPr>
                <w:rFonts w:ascii="Times New Roman" w:hAnsi="Times New Roman" w:cs="Times New Roman"/>
              </w:rPr>
              <w:t xml:space="preserve">  </w:t>
            </w:r>
            <w:r>
              <w:rPr>
                <w:rFonts w:hint="eastAsia" w:ascii="Times New Roman" w:hAnsi="Times New Roman" w:cs="Times New Roman"/>
              </w:rPr>
              <w:t>强</w:t>
            </w:r>
          </w:p>
        </w:tc>
        <w:tc>
          <w:tcPr>
            <w:tcW w:w="2616" w:type="dxa"/>
            <w:vAlign w:val="center"/>
          </w:tcPr>
          <w:p>
            <w:pPr>
              <w:pStyle w:val="120"/>
              <w:spacing w:afterLines="50" w:line="900" w:lineRule="exact"/>
              <w:jc w:val="center"/>
              <w:rPr>
                <w:rFonts w:ascii="Times New Roman" w:hAnsi="Times New Roman" w:cs="Times New Roman"/>
              </w:rPr>
            </w:pPr>
            <w:r>
              <w:rPr>
                <w:rFonts w:ascii="Times New Roman" w:hAnsi="Times New Roman" w:cs="Times New Roman"/>
                <w:bCs/>
                <w:snapToGrid w:val="0"/>
                <w:szCs w:val="24"/>
              </w:rPr>
              <w:t>5120140027</w:t>
            </w:r>
          </w:p>
        </w:tc>
        <w:tc>
          <w:tcPr>
            <w:tcW w:w="1805" w:type="dxa"/>
            <w:vAlign w:val="center"/>
          </w:tcPr>
          <w:p>
            <w:pPr>
              <w:pStyle w:val="120"/>
              <w:spacing w:afterLines="50" w:line="900" w:lineRule="exact"/>
              <w:jc w:val="center"/>
              <w:rPr>
                <w:rFonts w:ascii="Times New Roman" w:hAnsi="Times New Roman" w:cs="Times New Roman"/>
              </w:rPr>
            </w:pPr>
            <w:r>
              <w:rPr>
                <w:rFonts w:ascii="Times New Roman" w:hAnsi="Times New Roman" w:cs="Times New Roman"/>
              </w:rPr>
              <w:t xml:space="preserve"> </w:t>
            </w:r>
          </w:p>
        </w:tc>
        <w:tc>
          <w:tcPr>
            <w:tcW w:w="2146" w:type="dxa"/>
            <w:vAlign w:val="center"/>
          </w:tcPr>
          <w:p>
            <w:pPr>
              <w:pStyle w:val="120"/>
              <w:spacing w:afterLines="50" w:line="900" w:lineRule="exact"/>
              <w:jc w:val="center"/>
              <w:rPr>
                <w:rFonts w:ascii="Times New Roman" w:hAnsi="Times New Roman" w:cs="Times New Roman"/>
              </w:rPr>
            </w:pPr>
            <w:r>
              <w:rPr>
                <w:rFonts w:ascii="Times New Roman" w:hAnsi="Times New Roman" w:cs="Times New Roman"/>
              </w:rPr>
              <w:t>2022</w:t>
            </w:r>
            <w:r>
              <w:rPr>
                <w:rFonts w:hint="eastAsia" w:ascii="Times New Roman" w:hAnsi="Times New Roman" w:cs="Times New Roman"/>
              </w:rPr>
              <w:t>年</w:t>
            </w:r>
            <w:r>
              <w:rPr>
                <w:rFonts w:ascii="Times New Roman" w:hAnsi="Times New Roman" w:cs="Times New Roman"/>
              </w:rPr>
              <w:t>04</w:t>
            </w:r>
            <w:r>
              <w:rPr>
                <w:rFonts w:hint="eastAsia" w:ascii="Times New Roman" w:hAnsi="Times New Roman" w:cs="Times New Roman"/>
              </w:rPr>
              <w:t>月</w:t>
            </w:r>
            <w:r>
              <w:rPr>
                <w:rFonts w:ascii="Times New Roman" w:hAnsi="Times New Roman" w:cs="Times New Roman"/>
              </w:rPr>
              <w:t>18</w:t>
            </w:r>
            <w:r>
              <w:rPr>
                <w:rFonts w:hint="eastAsia" w:ascii="Times New Roman" w:hAnsi="Times New Roman" w:cs="Times New Roman"/>
              </w:rPr>
              <w:t>日</w:t>
            </w:r>
          </w:p>
        </w:tc>
      </w:tr>
      <w:tr>
        <w:tblPrEx>
          <w:tblCellMar>
            <w:top w:w="0" w:type="dxa"/>
            <w:left w:w="108" w:type="dxa"/>
            <w:bottom w:w="0" w:type="dxa"/>
            <w:right w:w="108" w:type="dxa"/>
          </w:tblCellMar>
        </w:tblPrEx>
        <w:tc>
          <w:tcPr>
            <w:tcW w:w="1495" w:type="dxa"/>
            <w:vAlign w:val="center"/>
          </w:tcPr>
          <w:p>
            <w:pPr>
              <w:pStyle w:val="120"/>
              <w:spacing w:afterLines="50" w:line="900" w:lineRule="exact"/>
              <w:jc w:val="center"/>
              <w:rPr>
                <w:rFonts w:ascii="Times New Roman" w:hAnsi="Times New Roman" w:cs="Times New Roman"/>
              </w:rPr>
            </w:pPr>
            <w:r>
              <w:rPr>
                <w:rFonts w:hint="eastAsia" w:ascii="Times New Roman" w:hAnsi="Times New Roman" w:cs="Times New Roman"/>
              </w:rPr>
              <w:t>项目参与人</w:t>
            </w:r>
          </w:p>
        </w:tc>
        <w:tc>
          <w:tcPr>
            <w:tcW w:w="1402" w:type="dxa"/>
            <w:vAlign w:val="center"/>
          </w:tcPr>
          <w:p>
            <w:pPr>
              <w:pStyle w:val="120"/>
              <w:spacing w:afterLines="50" w:line="900" w:lineRule="exact"/>
              <w:jc w:val="center"/>
              <w:rPr>
                <w:rFonts w:ascii="Times New Roman" w:hAnsi="Times New Roman" w:cs="Times New Roman"/>
              </w:rPr>
            </w:pPr>
            <w:r>
              <w:rPr>
                <w:rFonts w:hint="eastAsia" w:ascii="Times New Roman" w:hAnsi="Times New Roman" w:cs="Times New Roman"/>
              </w:rPr>
              <w:t>向玥纯</w:t>
            </w:r>
          </w:p>
        </w:tc>
        <w:tc>
          <w:tcPr>
            <w:tcW w:w="2616" w:type="dxa"/>
            <w:vAlign w:val="center"/>
          </w:tcPr>
          <w:p>
            <w:pPr>
              <w:pStyle w:val="120"/>
              <w:spacing w:afterLines="50" w:line="900" w:lineRule="exact"/>
              <w:jc w:val="center"/>
              <w:rPr>
                <w:rFonts w:ascii="Times New Roman" w:hAnsi="Times New Roman" w:cs="Times New Roman"/>
              </w:rPr>
            </w:pPr>
            <w:r>
              <w:rPr>
                <w:rFonts w:ascii="Times New Roman" w:hAnsi="Times New Roman" w:cs="Times New Roman"/>
              </w:rPr>
              <w:t>/</w:t>
            </w:r>
          </w:p>
        </w:tc>
        <w:tc>
          <w:tcPr>
            <w:tcW w:w="1805" w:type="dxa"/>
            <w:vAlign w:val="center"/>
          </w:tcPr>
          <w:p>
            <w:pPr>
              <w:pStyle w:val="120"/>
              <w:spacing w:afterLines="50" w:line="900" w:lineRule="exact"/>
              <w:jc w:val="center"/>
              <w:rPr>
                <w:rFonts w:ascii="Times New Roman" w:hAnsi="Times New Roman" w:cs="Times New Roman"/>
              </w:rPr>
            </w:pPr>
          </w:p>
        </w:tc>
        <w:tc>
          <w:tcPr>
            <w:tcW w:w="2146" w:type="dxa"/>
            <w:vAlign w:val="center"/>
          </w:tcPr>
          <w:p>
            <w:pPr>
              <w:pStyle w:val="120"/>
              <w:spacing w:afterLines="50" w:line="900" w:lineRule="exact"/>
              <w:jc w:val="center"/>
              <w:rPr>
                <w:rFonts w:ascii="Times New Roman" w:hAnsi="Times New Roman" w:cs="Times New Roman"/>
              </w:rPr>
            </w:pPr>
            <w:r>
              <w:rPr>
                <w:rFonts w:ascii="Times New Roman" w:hAnsi="Times New Roman" w:cs="Times New Roman"/>
              </w:rPr>
              <w:t>2022</w:t>
            </w:r>
            <w:r>
              <w:rPr>
                <w:rFonts w:hint="eastAsia" w:ascii="Times New Roman" w:hAnsi="Times New Roman" w:cs="Times New Roman"/>
              </w:rPr>
              <w:t>年</w:t>
            </w:r>
            <w:r>
              <w:rPr>
                <w:rFonts w:ascii="Times New Roman" w:hAnsi="Times New Roman" w:cs="Times New Roman"/>
              </w:rPr>
              <w:t>04</w:t>
            </w:r>
            <w:r>
              <w:rPr>
                <w:rFonts w:hint="eastAsia" w:ascii="Times New Roman" w:hAnsi="Times New Roman" w:cs="Times New Roman"/>
              </w:rPr>
              <w:t>月</w:t>
            </w:r>
            <w:r>
              <w:rPr>
                <w:rFonts w:ascii="Times New Roman" w:hAnsi="Times New Roman" w:cs="Times New Roman"/>
              </w:rPr>
              <w:t>18</w:t>
            </w:r>
            <w:r>
              <w:rPr>
                <w:rFonts w:hint="eastAsia" w:ascii="Times New Roman" w:hAnsi="Times New Roman" w:cs="Times New Roman"/>
              </w:rPr>
              <w:t>日</w:t>
            </w:r>
          </w:p>
        </w:tc>
      </w:tr>
      <w:tr>
        <w:tblPrEx>
          <w:tblCellMar>
            <w:top w:w="0" w:type="dxa"/>
            <w:left w:w="108" w:type="dxa"/>
            <w:bottom w:w="0" w:type="dxa"/>
            <w:right w:w="108" w:type="dxa"/>
          </w:tblCellMar>
        </w:tblPrEx>
        <w:tc>
          <w:tcPr>
            <w:tcW w:w="1495" w:type="dxa"/>
            <w:vAlign w:val="center"/>
          </w:tcPr>
          <w:p>
            <w:pPr>
              <w:pStyle w:val="120"/>
              <w:spacing w:afterLines="50" w:line="900" w:lineRule="exact"/>
              <w:jc w:val="center"/>
              <w:rPr>
                <w:rFonts w:ascii="Times New Roman" w:hAnsi="Times New Roman" w:cs="Times New Roman"/>
              </w:rPr>
            </w:pPr>
            <w:r>
              <w:rPr>
                <w:rFonts w:hint="eastAsia" w:ascii="Times New Roman" w:hAnsi="Times New Roman" w:cs="Times New Roman"/>
              </w:rPr>
              <w:t>项目审核人</w:t>
            </w:r>
          </w:p>
        </w:tc>
        <w:tc>
          <w:tcPr>
            <w:tcW w:w="1402" w:type="dxa"/>
            <w:vAlign w:val="center"/>
          </w:tcPr>
          <w:p>
            <w:pPr>
              <w:pStyle w:val="120"/>
              <w:spacing w:afterLines="50" w:line="900" w:lineRule="exact"/>
              <w:jc w:val="center"/>
              <w:rPr>
                <w:rFonts w:ascii="Times New Roman" w:hAnsi="Times New Roman" w:cs="Times New Roman"/>
              </w:rPr>
            </w:pPr>
            <w:r>
              <w:rPr>
                <w:rFonts w:hint="eastAsia" w:ascii="Times New Roman" w:hAnsi="Times New Roman" w:cs="Times New Roman"/>
              </w:rPr>
              <w:t>陈</w:t>
            </w:r>
            <w:r>
              <w:rPr>
                <w:rFonts w:ascii="Times New Roman" w:hAnsi="Times New Roman" w:cs="Times New Roman"/>
              </w:rPr>
              <w:t xml:space="preserve">  </w:t>
            </w:r>
            <w:r>
              <w:rPr>
                <w:rFonts w:hint="eastAsia" w:ascii="Times New Roman" w:hAnsi="Times New Roman" w:cs="Times New Roman"/>
              </w:rPr>
              <w:t>亭</w:t>
            </w:r>
          </w:p>
        </w:tc>
        <w:tc>
          <w:tcPr>
            <w:tcW w:w="2616" w:type="dxa"/>
            <w:vAlign w:val="center"/>
          </w:tcPr>
          <w:p>
            <w:pPr>
              <w:pStyle w:val="120"/>
              <w:spacing w:afterLines="50" w:line="900" w:lineRule="exact"/>
              <w:jc w:val="center"/>
              <w:rPr>
                <w:rFonts w:ascii="Times New Roman" w:hAnsi="Times New Roman" w:cs="Times New Roman"/>
              </w:rPr>
            </w:pPr>
            <w:r>
              <w:rPr>
                <w:rFonts w:ascii="Times New Roman" w:hAnsi="Times New Roman" w:cs="Times New Roman"/>
              </w:rPr>
              <w:t>5120000085</w:t>
            </w:r>
          </w:p>
        </w:tc>
        <w:tc>
          <w:tcPr>
            <w:tcW w:w="1805" w:type="dxa"/>
            <w:vAlign w:val="center"/>
          </w:tcPr>
          <w:p>
            <w:pPr>
              <w:pStyle w:val="120"/>
              <w:spacing w:afterLines="50" w:line="900" w:lineRule="exact"/>
              <w:jc w:val="center"/>
              <w:rPr>
                <w:rFonts w:ascii="Times New Roman" w:hAnsi="Times New Roman" w:cs="Times New Roman"/>
              </w:rPr>
            </w:pPr>
          </w:p>
        </w:tc>
        <w:tc>
          <w:tcPr>
            <w:tcW w:w="2146" w:type="dxa"/>
            <w:vAlign w:val="center"/>
          </w:tcPr>
          <w:p>
            <w:pPr>
              <w:pStyle w:val="120"/>
              <w:spacing w:afterLines="50" w:line="900" w:lineRule="exact"/>
              <w:jc w:val="center"/>
              <w:rPr>
                <w:rFonts w:ascii="Times New Roman" w:hAnsi="Times New Roman" w:cs="Times New Roman"/>
              </w:rPr>
            </w:pPr>
            <w:r>
              <w:rPr>
                <w:rFonts w:ascii="Times New Roman" w:hAnsi="Times New Roman" w:cs="Times New Roman"/>
              </w:rPr>
              <w:t>2022</w:t>
            </w:r>
            <w:r>
              <w:rPr>
                <w:rFonts w:hint="eastAsia" w:ascii="Times New Roman" w:hAnsi="Times New Roman" w:cs="Times New Roman"/>
              </w:rPr>
              <w:t>年</w:t>
            </w:r>
            <w:r>
              <w:rPr>
                <w:rFonts w:ascii="Times New Roman" w:hAnsi="Times New Roman" w:cs="Times New Roman"/>
              </w:rPr>
              <w:t>04</w:t>
            </w:r>
            <w:r>
              <w:rPr>
                <w:rFonts w:hint="eastAsia" w:ascii="Times New Roman" w:hAnsi="Times New Roman" w:cs="Times New Roman"/>
              </w:rPr>
              <w:t>月</w:t>
            </w:r>
            <w:r>
              <w:rPr>
                <w:rFonts w:ascii="Times New Roman" w:hAnsi="Times New Roman" w:cs="Times New Roman"/>
              </w:rPr>
              <w:t>18</w:t>
            </w:r>
            <w:r>
              <w:rPr>
                <w:rFonts w:hint="eastAsia" w:ascii="Times New Roman" w:hAnsi="Times New Roman" w:cs="Times New Roman"/>
              </w:rPr>
              <w:t>日</w:t>
            </w:r>
          </w:p>
        </w:tc>
      </w:tr>
      <w:tr>
        <w:tblPrEx>
          <w:tblCellMar>
            <w:top w:w="0" w:type="dxa"/>
            <w:left w:w="108" w:type="dxa"/>
            <w:bottom w:w="0" w:type="dxa"/>
            <w:right w:w="108" w:type="dxa"/>
          </w:tblCellMar>
        </w:tblPrEx>
        <w:tc>
          <w:tcPr>
            <w:tcW w:w="1495" w:type="dxa"/>
            <w:vAlign w:val="center"/>
          </w:tcPr>
          <w:p>
            <w:pPr>
              <w:pStyle w:val="120"/>
              <w:spacing w:afterLines="50" w:line="900" w:lineRule="exact"/>
              <w:jc w:val="center"/>
              <w:rPr>
                <w:rFonts w:ascii="Times New Roman" w:hAnsi="Times New Roman" w:cs="Times New Roman"/>
              </w:rPr>
            </w:pPr>
            <w:r>
              <w:rPr>
                <w:rFonts w:hint="eastAsia" w:ascii="Times New Roman" w:hAnsi="Times New Roman" w:cs="Times New Roman"/>
              </w:rPr>
              <w:t>项目复核人</w:t>
            </w:r>
          </w:p>
        </w:tc>
        <w:tc>
          <w:tcPr>
            <w:tcW w:w="1402" w:type="dxa"/>
            <w:vAlign w:val="center"/>
          </w:tcPr>
          <w:p>
            <w:pPr>
              <w:pStyle w:val="120"/>
              <w:spacing w:afterLines="50" w:line="900" w:lineRule="exact"/>
              <w:jc w:val="center"/>
              <w:rPr>
                <w:rFonts w:ascii="Times New Roman" w:hAnsi="Times New Roman" w:cs="Times New Roman"/>
              </w:rPr>
            </w:pPr>
            <w:r>
              <w:rPr>
                <w:rFonts w:hint="eastAsia" w:ascii="Times New Roman" w:hAnsi="Times New Roman" w:cs="Times New Roman"/>
              </w:rPr>
              <w:t>刘晓娟</w:t>
            </w:r>
          </w:p>
        </w:tc>
        <w:tc>
          <w:tcPr>
            <w:tcW w:w="2616" w:type="dxa"/>
            <w:vAlign w:val="center"/>
          </w:tcPr>
          <w:p>
            <w:pPr>
              <w:pStyle w:val="120"/>
              <w:spacing w:afterLines="50" w:line="900" w:lineRule="exact"/>
              <w:jc w:val="center"/>
              <w:rPr>
                <w:rFonts w:ascii="Times New Roman" w:hAnsi="Times New Roman" w:cs="Times New Roman"/>
              </w:rPr>
            </w:pPr>
            <w:r>
              <w:rPr>
                <w:rFonts w:ascii="Times New Roman" w:hAnsi="Times New Roman" w:cs="Times New Roman"/>
              </w:rPr>
              <w:t>5119970074</w:t>
            </w:r>
          </w:p>
        </w:tc>
        <w:tc>
          <w:tcPr>
            <w:tcW w:w="1805" w:type="dxa"/>
            <w:vAlign w:val="center"/>
          </w:tcPr>
          <w:p>
            <w:pPr>
              <w:pStyle w:val="120"/>
              <w:spacing w:afterLines="50" w:line="900" w:lineRule="exact"/>
              <w:jc w:val="center"/>
              <w:rPr>
                <w:rFonts w:ascii="Times New Roman" w:hAnsi="Times New Roman" w:cs="Times New Roman"/>
              </w:rPr>
            </w:pPr>
          </w:p>
        </w:tc>
        <w:tc>
          <w:tcPr>
            <w:tcW w:w="2146" w:type="dxa"/>
            <w:vAlign w:val="center"/>
          </w:tcPr>
          <w:p>
            <w:pPr>
              <w:pStyle w:val="120"/>
              <w:spacing w:afterLines="50" w:line="900" w:lineRule="exact"/>
              <w:jc w:val="center"/>
              <w:rPr>
                <w:rFonts w:ascii="Times New Roman" w:hAnsi="Times New Roman" w:cs="Times New Roman"/>
              </w:rPr>
            </w:pPr>
            <w:r>
              <w:rPr>
                <w:rFonts w:ascii="Times New Roman" w:hAnsi="Times New Roman" w:cs="Times New Roman"/>
              </w:rPr>
              <w:t>2022</w:t>
            </w:r>
            <w:r>
              <w:rPr>
                <w:rFonts w:hint="eastAsia" w:ascii="Times New Roman" w:hAnsi="Times New Roman" w:cs="Times New Roman"/>
              </w:rPr>
              <w:t>年</w:t>
            </w:r>
            <w:r>
              <w:rPr>
                <w:rFonts w:ascii="Times New Roman" w:hAnsi="Times New Roman" w:cs="Times New Roman"/>
              </w:rPr>
              <w:t>04</w:t>
            </w:r>
            <w:r>
              <w:rPr>
                <w:rFonts w:hint="eastAsia" w:ascii="Times New Roman" w:hAnsi="Times New Roman" w:cs="Times New Roman"/>
              </w:rPr>
              <w:t>月</w:t>
            </w:r>
            <w:r>
              <w:rPr>
                <w:rFonts w:ascii="Times New Roman" w:hAnsi="Times New Roman" w:cs="Times New Roman"/>
              </w:rPr>
              <w:t>18</w:t>
            </w:r>
            <w:r>
              <w:rPr>
                <w:rFonts w:hint="eastAsia" w:ascii="Times New Roman" w:hAnsi="Times New Roman" w:cs="Times New Roman"/>
              </w:rPr>
              <w:t>日</w:t>
            </w:r>
          </w:p>
        </w:tc>
      </w:tr>
    </w:tbl>
    <w:p>
      <w:pPr>
        <w:pStyle w:val="5"/>
        <w:spacing w:line="500" w:lineRule="exact"/>
        <w:ind w:left="31680" w:hanging="422" w:hangingChars="175"/>
        <w:rPr>
          <w:rFonts w:ascii="黑体" w:eastAsia="黑体"/>
          <w:b/>
          <w:bCs/>
          <w:color w:val="000000"/>
          <w:sz w:val="24"/>
        </w:rPr>
      </w:pPr>
      <w:r>
        <w:rPr>
          <w:rFonts w:hint="eastAsia" w:ascii="黑体" w:eastAsia="黑体"/>
          <w:b/>
          <w:bCs/>
          <w:color w:val="000000"/>
          <w:sz w:val="24"/>
        </w:rPr>
        <w:t>十二、实地查勘期</w:t>
      </w:r>
    </w:p>
    <w:p>
      <w:pPr>
        <w:pStyle w:val="16"/>
        <w:spacing w:line="500" w:lineRule="exact"/>
        <w:ind w:firstLine="590" w:firstLineChars="250"/>
        <w:rPr>
          <w:snapToGrid w:val="0"/>
          <w:color w:val="000000"/>
          <w:spacing w:val="-2"/>
          <w:kern w:val="0"/>
        </w:rPr>
      </w:pPr>
      <w:r>
        <w:rPr>
          <w:rFonts w:hint="eastAsia"/>
          <w:snapToGrid w:val="0"/>
          <w:color w:val="000000"/>
          <w:spacing w:val="-2"/>
          <w:kern w:val="0"/>
        </w:rPr>
        <w:t>二○二二年四月二日</w:t>
      </w:r>
    </w:p>
    <w:p>
      <w:pPr>
        <w:pStyle w:val="5"/>
        <w:spacing w:line="500" w:lineRule="exact"/>
        <w:ind w:left="1" w:firstLine="0"/>
        <w:rPr>
          <w:rFonts w:ascii="宋体"/>
          <w:b/>
          <w:color w:val="000000"/>
          <w:sz w:val="24"/>
        </w:rPr>
      </w:pPr>
      <w:r>
        <w:rPr>
          <w:rFonts w:hint="eastAsia" w:ascii="黑体" w:eastAsia="黑体"/>
          <w:b/>
          <w:bCs/>
          <w:color w:val="000000"/>
          <w:sz w:val="24"/>
        </w:rPr>
        <w:t>十三、估价作业期</w:t>
      </w:r>
    </w:p>
    <w:p>
      <w:pPr>
        <w:spacing w:line="520" w:lineRule="exact"/>
        <w:ind w:firstLine="590" w:firstLineChars="250"/>
        <w:rPr>
          <w:snapToGrid w:val="0"/>
          <w:color w:val="000000"/>
          <w:spacing w:val="-2"/>
          <w:kern w:val="0"/>
          <w:sz w:val="24"/>
          <w:szCs w:val="20"/>
        </w:rPr>
      </w:pPr>
      <w:r>
        <w:rPr>
          <w:rFonts w:hint="eastAsia"/>
          <w:snapToGrid w:val="0"/>
          <w:color w:val="000000"/>
          <w:spacing w:val="-2"/>
          <w:kern w:val="0"/>
          <w:sz w:val="24"/>
          <w:szCs w:val="20"/>
        </w:rPr>
        <w:t>二○二二年四月二日至二○二二年四月十八日</w:t>
      </w:r>
    </w:p>
    <w:p>
      <w:pPr>
        <w:spacing w:line="520" w:lineRule="exact"/>
        <w:ind w:firstLine="600" w:firstLineChars="250"/>
        <w:rPr>
          <w:color w:val="000000"/>
          <w:sz w:val="24"/>
        </w:rPr>
      </w:pPr>
    </w:p>
    <w:p>
      <w:pPr>
        <w:spacing w:line="520" w:lineRule="exact"/>
        <w:ind w:firstLine="600" w:firstLineChars="250"/>
        <w:rPr>
          <w:color w:val="000000"/>
          <w:sz w:val="24"/>
        </w:rPr>
      </w:pPr>
    </w:p>
    <w:p>
      <w:pPr>
        <w:spacing w:line="520" w:lineRule="exact"/>
        <w:ind w:firstLine="600" w:firstLineChars="250"/>
        <w:rPr>
          <w:color w:val="000000"/>
          <w:sz w:val="24"/>
        </w:rPr>
      </w:pPr>
    </w:p>
    <w:p>
      <w:pPr>
        <w:pStyle w:val="5"/>
        <w:spacing w:line="520" w:lineRule="exact"/>
        <w:ind w:left="0" w:firstLine="0"/>
        <w:jc w:val="right"/>
        <w:rPr>
          <w:rFonts w:ascii="黑体" w:eastAsia="黑体"/>
          <w:color w:val="000000"/>
          <w:sz w:val="24"/>
        </w:rPr>
      </w:pPr>
      <w:r>
        <w:rPr>
          <w:rFonts w:hint="eastAsia" w:ascii="黑体" w:eastAsia="黑体"/>
          <w:bCs/>
          <w:color w:val="000000"/>
          <w:sz w:val="24"/>
        </w:rPr>
        <w:t>四川省同正地产房地产估价有限责任公司</w:t>
      </w:r>
    </w:p>
    <w:p>
      <w:pPr>
        <w:pStyle w:val="16"/>
        <w:spacing w:line="520" w:lineRule="exact"/>
        <w:ind w:firstLine="480" w:firstLineChars="200"/>
        <w:jc w:val="right"/>
        <w:rPr>
          <w:snapToGrid w:val="0"/>
          <w:color w:val="000000"/>
          <w:spacing w:val="-2"/>
          <w:kern w:val="0"/>
        </w:rPr>
      </w:pPr>
      <w:r>
        <w:rPr>
          <w:rFonts w:hint="eastAsia"/>
          <w:color w:val="000000"/>
        </w:rPr>
        <w:t>二○二二年四月十八日</w:t>
      </w:r>
    </w:p>
    <w:p>
      <w:pPr>
        <w:spacing w:line="500" w:lineRule="exact"/>
        <w:jc w:val="center"/>
        <w:rPr>
          <w:rFonts w:ascii="黑体" w:eastAsia="黑体"/>
          <w:b/>
          <w:bCs/>
          <w:color w:val="000000"/>
          <w:w w:val="200"/>
          <w:szCs w:val="21"/>
        </w:rPr>
        <w:sectPr>
          <w:pgSz w:w="11906" w:h="16838"/>
          <w:pgMar w:top="1814" w:right="1361" w:bottom="1361" w:left="1588" w:header="851" w:footer="992" w:gutter="0"/>
          <w:pgNumType w:start="22"/>
          <w:cols w:space="720" w:num="1"/>
          <w:docGrid w:type="lines" w:linePitch="312" w:charSpace="0"/>
        </w:sectPr>
      </w:pPr>
    </w:p>
    <w:p>
      <w:pPr>
        <w:jc w:val="center"/>
        <w:rPr>
          <w:rFonts w:eastAsia="黑体"/>
          <w:b/>
          <w:color w:val="000000"/>
          <w:w w:val="200"/>
          <w:sz w:val="36"/>
        </w:rPr>
      </w:pPr>
    </w:p>
    <w:p>
      <w:pPr>
        <w:jc w:val="center"/>
        <w:rPr>
          <w:rFonts w:eastAsia="黑体"/>
          <w:b/>
          <w:color w:val="000000"/>
          <w:w w:val="200"/>
          <w:sz w:val="36"/>
        </w:rPr>
      </w:pPr>
      <w:r>
        <w:rPr>
          <w:rFonts w:hint="eastAsia" w:eastAsia="黑体"/>
          <w:b/>
          <w:color w:val="000000"/>
          <w:w w:val="200"/>
          <w:sz w:val="36"/>
        </w:rPr>
        <w:t>附</w:t>
      </w:r>
      <w:r>
        <w:rPr>
          <w:rFonts w:eastAsia="黑体"/>
          <w:b/>
          <w:color w:val="000000"/>
          <w:w w:val="200"/>
          <w:sz w:val="36"/>
        </w:rPr>
        <w:t xml:space="preserve">   </w:t>
      </w:r>
      <w:r>
        <w:rPr>
          <w:rFonts w:hint="eastAsia" w:eastAsia="黑体"/>
          <w:b/>
          <w:color w:val="000000"/>
          <w:w w:val="200"/>
          <w:sz w:val="36"/>
        </w:rPr>
        <w:t>件</w:t>
      </w:r>
    </w:p>
    <w:p>
      <w:pPr>
        <w:jc w:val="center"/>
        <w:rPr>
          <w:rFonts w:eastAsia="黑体"/>
          <w:color w:val="000000"/>
          <w:sz w:val="24"/>
        </w:rPr>
      </w:pPr>
    </w:p>
    <w:p>
      <w:pPr>
        <w:jc w:val="center"/>
        <w:rPr>
          <w:rFonts w:eastAsia="黑体"/>
          <w:color w:val="000000"/>
          <w:sz w:val="24"/>
        </w:rPr>
      </w:pPr>
    </w:p>
    <w:p>
      <w:pPr>
        <w:ind w:left="2316"/>
        <w:rPr>
          <w:color w:val="000000"/>
          <w:sz w:val="24"/>
        </w:rPr>
      </w:pPr>
    </w:p>
    <w:p>
      <w:pPr>
        <w:spacing w:line="420" w:lineRule="exact"/>
        <w:ind w:left="2316" w:leftChars="1103" w:firstLine="600" w:firstLineChars="250"/>
        <w:rPr>
          <w:color w:val="000000"/>
          <w:sz w:val="24"/>
        </w:rPr>
      </w:pPr>
      <w:r>
        <w:rPr>
          <w:color w:val="000000"/>
          <w:sz w:val="24"/>
        </w:rPr>
        <w:t>1</w:t>
      </w:r>
      <w:r>
        <w:rPr>
          <w:rFonts w:hint="eastAsia"/>
          <w:color w:val="000000"/>
          <w:sz w:val="24"/>
        </w:rPr>
        <w:t>、估价委托书复印件</w:t>
      </w:r>
    </w:p>
    <w:p>
      <w:pPr>
        <w:spacing w:line="420" w:lineRule="exact"/>
        <w:ind w:left="2316"/>
        <w:rPr>
          <w:color w:val="000000"/>
          <w:sz w:val="24"/>
        </w:rPr>
      </w:pPr>
    </w:p>
    <w:p>
      <w:pPr>
        <w:spacing w:line="420" w:lineRule="exact"/>
        <w:ind w:left="2316"/>
        <w:rPr>
          <w:color w:val="000000"/>
          <w:sz w:val="24"/>
        </w:rPr>
      </w:pPr>
      <w:r>
        <w:rPr>
          <w:color w:val="000000"/>
          <w:sz w:val="24"/>
        </w:rPr>
        <w:t xml:space="preserve">     2</w:t>
      </w:r>
      <w:r>
        <w:rPr>
          <w:rFonts w:hint="eastAsia"/>
          <w:color w:val="000000"/>
          <w:sz w:val="24"/>
        </w:rPr>
        <w:t>、估价对象地理位置图</w:t>
      </w:r>
    </w:p>
    <w:p>
      <w:pPr>
        <w:spacing w:line="420" w:lineRule="exact"/>
        <w:ind w:left="2316"/>
        <w:rPr>
          <w:color w:val="000000"/>
          <w:sz w:val="24"/>
        </w:rPr>
      </w:pPr>
    </w:p>
    <w:p>
      <w:pPr>
        <w:spacing w:line="420" w:lineRule="exact"/>
        <w:ind w:left="2316" w:firstLine="600"/>
        <w:rPr>
          <w:color w:val="000000"/>
          <w:sz w:val="24"/>
        </w:rPr>
      </w:pPr>
      <w:r>
        <w:rPr>
          <w:color w:val="000000"/>
          <w:sz w:val="24"/>
        </w:rPr>
        <w:t>3</w:t>
      </w:r>
      <w:r>
        <w:rPr>
          <w:rFonts w:hint="eastAsia"/>
          <w:color w:val="000000"/>
          <w:sz w:val="24"/>
        </w:rPr>
        <w:t>、估价对象实地查勘情况、说明和照片（内部、外部、周围环境状况）</w:t>
      </w:r>
    </w:p>
    <w:p>
      <w:pPr>
        <w:spacing w:line="420" w:lineRule="exact"/>
        <w:ind w:left="2316" w:firstLine="600"/>
        <w:rPr>
          <w:color w:val="000000"/>
          <w:sz w:val="24"/>
        </w:rPr>
      </w:pPr>
    </w:p>
    <w:p>
      <w:pPr>
        <w:spacing w:line="420" w:lineRule="exact"/>
        <w:ind w:left="2316" w:firstLine="600"/>
        <w:rPr>
          <w:color w:val="000000"/>
          <w:sz w:val="24"/>
        </w:rPr>
      </w:pPr>
      <w:r>
        <w:rPr>
          <w:color w:val="000000"/>
          <w:sz w:val="24"/>
        </w:rPr>
        <w:t>4</w:t>
      </w:r>
      <w:r>
        <w:rPr>
          <w:rFonts w:hint="eastAsia"/>
          <w:color w:val="000000"/>
          <w:sz w:val="24"/>
        </w:rPr>
        <w:t>、估价对象权属证明、房屋建筑面积测绘成果报告（建筑面积实测）等复印件</w:t>
      </w:r>
    </w:p>
    <w:p>
      <w:pPr>
        <w:spacing w:line="420" w:lineRule="exact"/>
        <w:ind w:left="2316" w:firstLine="600"/>
        <w:rPr>
          <w:color w:val="000000"/>
          <w:sz w:val="24"/>
        </w:rPr>
      </w:pPr>
    </w:p>
    <w:p>
      <w:pPr>
        <w:spacing w:line="420" w:lineRule="exact"/>
        <w:ind w:left="2316" w:firstLine="600"/>
        <w:rPr>
          <w:rFonts w:ascii="宋体"/>
          <w:color w:val="000000"/>
          <w:sz w:val="24"/>
        </w:rPr>
      </w:pPr>
      <w:r>
        <w:rPr>
          <w:color w:val="000000"/>
          <w:sz w:val="24"/>
        </w:rPr>
        <w:t>5</w:t>
      </w:r>
      <w:r>
        <w:rPr>
          <w:rFonts w:hint="eastAsia" w:ascii="宋体"/>
          <w:color w:val="000000"/>
          <w:sz w:val="24"/>
        </w:rPr>
        <w:t>、可比实例位置图及外观照片</w:t>
      </w:r>
    </w:p>
    <w:p>
      <w:pPr>
        <w:spacing w:line="420" w:lineRule="exact"/>
        <w:ind w:left="2316" w:firstLine="600"/>
        <w:rPr>
          <w:rFonts w:ascii="宋体"/>
          <w:color w:val="000000"/>
          <w:sz w:val="24"/>
        </w:rPr>
      </w:pPr>
    </w:p>
    <w:p>
      <w:pPr>
        <w:spacing w:line="420" w:lineRule="exact"/>
        <w:ind w:left="2316" w:firstLine="600"/>
        <w:rPr>
          <w:rFonts w:ascii="宋体"/>
          <w:color w:val="000000"/>
          <w:sz w:val="24"/>
        </w:rPr>
      </w:pPr>
      <w:r>
        <w:rPr>
          <w:rFonts w:ascii="宋体"/>
          <w:color w:val="000000"/>
          <w:sz w:val="24"/>
        </w:rPr>
        <w:t>6</w:t>
      </w:r>
      <w:r>
        <w:rPr>
          <w:rFonts w:hint="eastAsia" w:ascii="宋体"/>
          <w:color w:val="000000"/>
          <w:sz w:val="24"/>
        </w:rPr>
        <w:t>、</w:t>
      </w:r>
      <w:r>
        <w:rPr>
          <w:rFonts w:hint="eastAsia" w:ascii="Tahoma" w:hAnsi="Tahoma"/>
          <w:color w:val="000000"/>
          <w:sz w:val="24"/>
          <w:szCs w:val="20"/>
        </w:rPr>
        <w:t>没有专业帮助和未依据相关专业意见的说明</w:t>
      </w:r>
    </w:p>
    <w:p>
      <w:pPr>
        <w:spacing w:line="420" w:lineRule="exact"/>
        <w:ind w:left="2316" w:firstLine="600"/>
        <w:rPr>
          <w:rFonts w:ascii="宋体"/>
          <w:color w:val="000000"/>
          <w:sz w:val="24"/>
        </w:rPr>
      </w:pPr>
    </w:p>
    <w:p>
      <w:pPr>
        <w:spacing w:line="420" w:lineRule="exact"/>
        <w:ind w:left="2316" w:firstLine="600"/>
        <w:rPr>
          <w:rFonts w:ascii="宋体"/>
          <w:color w:val="000000"/>
          <w:sz w:val="24"/>
        </w:rPr>
      </w:pPr>
      <w:r>
        <w:rPr>
          <w:rFonts w:ascii="宋体"/>
          <w:color w:val="000000"/>
          <w:sz w:val="24"/>
        </w:rPr>
        <w:t>7</w:t>
      </w:r>
      <w:r>
        <w:rPr>
          <w:rFonts w:hint="eastAsia" w:ascii="宋体"/>
          <w:color w:val="000000"/>
          <w:sz w:val="24"/>
        </w:rPr>
        <w:t>、房地产估价机构营业执照及估价资质证书复印件</w:t>
      </w:r>
    </w:p>
    <w:p>
      <w:pPr>
        <w:spacing w:line="420" w:lineRule="exact"/>
        <w:ind w:left="2316" w:firstLine="600"/>
        <w:rPr>
          <w:rFonts w:ascii="宋体"/>
          <w:color w:val="000000"/>
          <w:sz w:val="24"/>
        </w:rPr>
      </w:pPr>
    </w:p>
    <w:p>
      <w:pPr>
        <w:spacing w:line="420" w:lineRule="exact"/>
        <w:ind w:left="2316" w:firstLine="600"/>
        <w:rPr>
          <w:rFonts w:ascii="宋体"/>
          <w:color w:val="000000"/>
          <w:sz w:val="24"/>
        </w:rPr>
      </w:pPr>
      <w:r>
        <w:rPr>
          <w:rFonts w:ascii="宋体"/>
          <w:color w:val="000000"/>
          <w:sz w:val="24"/>
        </w:rPr>
        <w:t>8</w:t>
      </w:r>
      <w:r>
        <w:rPr>
          <w:rFonts w:hint="eastAsia" w:ascii="宋体"/>
          <w:color w:val="000000"/>
          <w:sz w:val="24"/>
        </w:rPr>
        <w:t>、注册房地产估价师资质证书复印件</w:t>
      </w: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r>
        <w:rPr>
          <w:rFonts w:ascii="宋体"/>
          <w:color w:val="000000"/>
          <w:sz w:val="24"/>
        </w:rPr>
        <w:br w:type="page"/>
      </w:r>
    </w:p>
    <w:p>
      <w:pPr>
        <w:spacing w:line="500" w:lineRule="exact"/>
        <w:ind w:firstLine="3064" w:firstLineChars="637"/>
        <w:rPr>
          <w:rFonts w:ascii="黑体" w:eastAsia="黑体" w:cs="黑体"/>
          <w:b/>
          <w:bCs/>
          <w:color w:val="000000"/>
          <w:w w:val="200"/>
          <w:sz w:val="24"/>
        </w:rPr>
      </w:pPr>
      <w:r>
        <w:rPr>
          <w:rFonts w:hint="eastAsia" w:ascii="黑体" w:eastAsia="黑体" w:cs="黑体"/>
          <w:b/>
          <w:bCs/>
          <w:color w:val="000000"/>
          <w:w w:val="200"/>
          <w:sz w:val="24"/>
        </w:rPr>
        <w:t>实地查勘说明</w:t>
      </w:r>
    </w:p>
    <w:p>
      <w:pPr>
        <w:spacing w:afterLines="100" w:line="500" w:lineRule="exact"/>
        <w:ind w:firstLine="3064" w:firstLineChars="637"/>
        <w:rPr>
          <w:rFonts w:ascii="黑体" w:eastAsia="黑体" w:cs="黑体"/>
          <w:b/>
          <w:bCs/>
          <w:color w:val="000000"/>
          <w:w w:val="200"/>
          <w:sz w:val="24"/>
        </w:rPr>
      </w:pPr>
    </w:p>
    <w:p>
      <w:pPr>
        <w:spacing w:afterLines="100"/>
        <w:ind w:firstLine="480" w:firstLineChars="200"/>
        <w:rPr>
          <w:color w:val="000000"/>
          <w:sz w:val="24"/>
        </w:rPr>
      </w:pPr>
      <w:r>
        <w:rPr>
          <w:rFonts w:hint="eastAsia"/>
          <w:color w:val="000000"/>
          <w:sz w:val="24"/>
        </w:rPr>
        <w:t>我（们）对估价对象进行了实地查勘。</w:t>
      </w:r>
    </w:p>
    <w:tbl>
      <w:tblPr>
        <w:tblStyle w:val="35"/>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2278"/>
        <w:gridCol w:w="2170"/>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8" w:type="dxa"/>
            <w:vAlign w:val="center"/>
          </w:tcPr>
          <w:p>
            <w:pPr>
              <w:spacing w:line="1300" w:lineRule="exact"/>
              <w:jc w:val="center"/>
              <w:rPr>
                <w:rFonts w:cs="宋体"/>
                <w:color w:val="000000"/>
                <w:sz w:val="24"/>
              </w:rPr>
            </w:pPr>
            <w:r>
              <w:rPr>
                <w:rFonts w:hint="eastAsia" w:cs="宋体"/>
                <w:color w:val="000000"/>
                <w:sz w:val="24"/>
              </w:rPr>
              <w:t>估价职务</w:t>
            </w:r>
          </w:p>
        </w:tc>
        <w:tc>
          <w:tcPr>
            <w:tcW w:w="2278" w:type="dxa"/>
            <w:vAlign w:val="center"/>
          </w:tcPr>
          <w:p>
            <w:pPr>
              <w:spacing w:line="1300" w:lineRule="exact"/>
              <w:jc w:val="center"/>
              <w:rPr>
                <w:rFonts w:cs="宋体"/>
                <w:color w:val="000000"/>
                <w:sz w:val="24"/>
              </w:rPr>
            </w:pPr>
            <w:r>
              <w:rPr>
                <w:rFonts w:hint="eastAsia" w:cs="宋体"/>
                <w:color w:val="000000"/>
                <w:sz w:val="24"/>
              </w:rPr>
              <w:t>实地查勘人员姓名</w:t>
            </w:r>
          </w:p>
        </w:tc>
        <w:tc>
          <w:tcPr>
            <w:tcW w:w="2170" w:type="dxa"/>
            <w:vAlign w:val="center"/>
          </w:tcPr>
          <w:p>
            <w:pPr>
              <w:spacing w:line="1300" w:lineRule="exact"/>
              <w:jc w:val="center"/>
              <w:rPr>
                <w:rFonts w:cs="宋体"/>
                <w:color w:val="000000"/>
                <w:sz w:val="24"/>
              </w:rPr>
            </w:pPr>
            <w:r>
              <w:rPr>
                <w:rFonts w:hint="eastAsia" w:cs="宋体"/>
                <w:color w:val="000000"/>
                <w:sz w:val="24"/>
              </w:rPr>
              <w:t>实地查勘时间</w:t>
            </w:r>
          </w:p>
        </w:tc>
        <w:tc>
          <w:tcPr>
            <w:tcW w:w="1852" w:type="dxa"/>
            <w:vAlign w:val="center"/>
          </w:tcPr>
          <w:p>
            <w:pPr>
              <w:spacing w:line="1300" w:lineRule="exact"/>
              <w:jc w:val="center"/>
              <w:rPr>
                <w:rFonts w:cs="宋体"/>
                <w:color w:val="000000"/>
                <w:sz w:val="24"/>
              </w:rPr>
            </w:pPr>
            <w:r>
              <w:rPr>
                <w:rFonts w:hint="eastAsia" w:cs="宋体"/>
                <w:color w:val="000000"/>
                <w:sz w:val="24"/>
              </w:rPr>
              <w:t>签</w:t>
            </w:r>
            <w:r>
              <w:rPr>
                <w:rFonts w:cs="宋体"/>
                <w:color w:val="000000"/>
                <w:sz w:val="24"/>
              </w:rPr>
              <w:t xml:space="preserve"> </w:t>
            </w:r>
            <w:r>
              <w:rPr>
                <w:rFonts w:hint="eastAsia" w:cs="宋体"/>
                <w:color w:val="000000"/>
                <w:sz w:val="24"/>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2558" w:type="dxa"/>
            <w:vAlign w:val="center"/>
          </w:tcPr>
          <w:p>
            <w:pPr>
              <w:spacing w:line="1300" w:lineRule="exact"/>
              <w:jc w:val="center"/>
              <w:rPr>
                <w:rFonts w:ascii="黑体" w:eastAsia="黑体" w:cs="黑体"/>
                <w:b/>
                <w:bCs/>
                <w:color w:val="000000"/>
                <w:w w:val="200"/>
                <w:sz w:val="24"/>
              </w:rPr>
            </w:pPr>
            <w:r>
              <w:rPr>
                <w:rFonts w:hint="eastAsia" w:cs="宋体"/>
                <w:color w:val="000000"/>
                <w:sz w:val="24"/>
              </w:rPr>
              <w:t>注册房地产估价师</w:t>
            </w:r>
          </w:p>
        </w:tc>
        <w:tc>
          <w:tcPr>
            <w:tcW w:w="2278" w:type="dxa"/>
            <w:vAlign w:val="center"/>
          </w:tcPr>
          <w:p>
            <w:pPr>
              <w:spacing w:line="1300" w:lineRule="exact"/>
              <w:jc w:val="center"/>
              <w:rPr>
                <w:rFonts w:ascii="黑体" w:eastAsia="黑体" w:cs="黑体"/>
                <w:b/>
                <w:bCs/>
                <w:color w:val="000000"/>
                <w:w w:val="200"/>
                <w:sz w:val="24"/>
              </w:rPr>
            </w:pPr>
            <w:r>
              <w:rPr>
                <w:rFonts w:hint="eastAsia" w:cs="宋体"/>
                <w:color w:val="000000"/>
                <w:sz w:val="24"/>
              </w:rPr>
              <w:t>陈</w:t>
            </w:r>
            <w:r>
              <w:rPr>
                <w:rFonts w:cs="宋体"/>
                <w:color w:val="000000"/>
                <w:sz w:val="24"/>
              </w:rPr>
              <w:t xml:space="preserve">  </w:t>
            </w:r>
            <w:r>
              <w:rPr>
                <w:rFonts w:hint="eastAsia" w:cs="宋体"/>
                <w:color w:val="000000"/>
                <w:sz w:val="24"/>
              </w:rPr>
              <w:t>亭</w:t>
            </w:r>
          </w:p>
        </w:tc>
        <w:tc>
          <w:tcPr>
            <w:tcW w:w="2170" w:type="dxa"/>
            <w:vAlign w:val="center"/>
          </w:tcPr>
          <w:p>
            <w:pPr>
              <w:spacing w:line="1300" w:lineRule="exact"/>
              <w:jc w:val="center"/>
              <w:rPr>
                <w:rFonts w:ascii="宋体" w:cs="黑体"/>
                <w:b/>
                <w:bCs/>
                <w:color w:val="000000"/>
                <w:w w:val="200"/>
                <w:sz w:val="24"/>
              </w:rPr>
            </w:pPr>
            <w:r>
              <w:rPr>
                <w:color w:val="000000"/>
                <w:sz w:val="24"/>
              </w:rPr>
              <w:t>2022</w:t>
            </w:r>
            <w:r>
              <w:rPr>
                <w:rFonts w:hint="eastAsia"/>
                <w:color w:val="000000"/>
                <w:sz w:val="24"/>
              </w:rPr>
              <w:t>年</w:t>
            </w:r>
            <w:r>
              <w:rPr>
                <w:color w:val="000000"/>
                <w:sz w:val="24"/>
              </w:rPr>
              <w:t>04</w:t>
            </w:r>
            <w:r>
              <w:rPr>
                <w:rFonts w:hint="eastAsia"/>
                <w:color w:val="000000"/>
                <w:sz w:val="24"/>
              </w:rPr>
              <w:t>月</w:t>
            </w:r>
            <w:r>
              <w:rPr>
                <w:color w:val="000000"/>
                <w:sz w:val="24"/>
              </w:rPr>
              <w:t>02</w:t>
            </w:r>
            <w:r>
              <w:rPr>
                <w:rFonts w:hint="eastAsia"/>
                <w:color w:val="000000"/>
                <w:sz w:val="24"/>
              </w:rPr>
              <w:t>日</w:t>
            </w:r>
          </w:p>
        </w:tc>
        <w:tc>
          <w:tcPr>
            <w:tcW w:w="1852" w:type="dxa"/>
            <w:vAlign w:val="center"/>
          </w:tcPr>
          <w:p>
            <w:pPr>
              <w:spacing w:line="1300" w:lineRule="exact"/>
              <w:jc w:val="center"/>
              <w:rPr>
                <w:rFonts w:ascii="黑体" w:eastAsia="黑体" w:cs="黑体"/>
                <w:b/>
                <w:bCs/>
                <w:color w:val="000000"/>
                <w:w w:val="2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2558" w:type="dxa"/>
            <w:vAlign w:val="center"/>
          </w:tcPr>
          <w:p>
            <w:pPr>
              <w:spacing w:line="1300" w:lineRule="exact"/>
              <w:jc w:val="center"/>
              <w:rPr>
                <w:rFonts w:ascii="黑体" w:eastAsia="黑体" w:cs="黑体"/>
                <w:b/>
                <w:bCs/>
                <w:color w:val="000000"/>
                <w:w w:val="200"/>
                <w:sz w:val="24"/>
              </w:rPr>
            </w:pPr>
            <w:r>
              <w:rPr>
                <w:rFonts w:hint="eastAsia" w:cs="宋体"/>
                <w:color w:val="000000"/>
                <w:sz w:val="24"/>
              </w:rPr>
              <w:t>注册房地产估价师</w:t>
            </w:r>
          </w:p>
        </w:tc>
        <w:tc>
          <w:tcPr>
            <w:tcW w:w="2278" w:type="dxa"/>
            <w:vAlign w:val="center"/>
          </w:tcPr>
          <w:p>
            <w:pPr>
              <w:spacing w:line="1300" w:lineRule="exact"/>
              <w:jc w:val="center"/>
              <w:rPr>
                <w:rFonts w:ascii="黑体" w:eastAsia="黑体" w:cs="黑体"/>
                <w:b/>
                <w:bCs/>
                <w:color w:val="000000"/>
                <w:w w:val="200"/>
                <w:sz w:val="24"/>
              </w:rPr>
            </w:pPr>
            <w:r>
              <w:rPr>
                <w:rFonts w:hint="eastAsia" w:cs="宋体"/>
                <w:color w:val="000000"/>
                <w:sz w:val="24"/>
              </w:rPr>
              <w:t>文</w:t>
            </w:r>
            <w:r>
              <w:rPr>
                <w:rFonts w:cs="宋体"/>
                <w:color w:val="000000"/>
                <w:sz w:val="24"/>
              </w:rPr>
              <w:t xml:space="preserve">  </w:t>
            </w:r>
            <w:r>
              <w:rPr>
                <w:rFonts w:hint="eastAsia" w:cs="宋体"/>
                <w:color w:val="000000"/>
                <w:sz w:val="24"/>
              </w:rPr>
              <w:t>强</w:t>
            </w:r>
          </w:p>
        </w:tc>
        <w:tc>
          <w:tcPr>
            <w:tcW w:w="2170" w:type="dxa"/>
            <w:vAlign w:val="center"/>
          </w:tcPr>
          <w:p>
            <w:pPr>
              <w:spacing w:line="1300" w:lineRule="exact"/>
              <w:jc w:val="center"/>
              <w:rPr>
                <w:rFonts w:ascii="宋体" w:cs="黑体"/>
                <w:b/>
                <w:bCs/>
                <w:color w:val="000000"/>
                <w:w w:val="200"/>
                <w:sz w:val="24"/>
              </w:rPr>
            </w:pPr>
            <w:r>
              <w:rPr>
                <w:color w:val="000000"/>
                <w:sz w:val="24"/>
              </w:rPr>
              <w:t>2022</w:t>
            </w:r>
            <w:r>
              <w:rPr>
                <w:rFonts w:hint="eastAsia"/>
                <w:color w:val="000000"/>
                <w:sz w:val="24"/>
              </w:rPr>
              <w:t>年</w:t>
            </w:r>
            <w:r>
              <w:rPr>
                <w:color w:val="000000"/>
                <w:sz w:val="24"/>
              </w:rPr>
              <w:t>04</w:t>
            </w:r>
            <w:r>
              <w:rPr>
                <w:rFonts w:hint="eastAsia"/>
                <w:color w:val="000000"/>
                <w:sz w:val="24"/>
              </w:rPr>
              <w:t>月</w:t>
            </w:r>
            <w:r>
              <w:rPr>
                <w:color w:val="000000"/>
                <w:sz w:val="24"/>
              </w:rPr>
              <w:t>02</w:t>
            </w:r>
            <w:r>
              <w:rPr>
                <w:rFonts w:hint="eastAsia"/>
                <w:color w:val="000000"/>
                <w:sz w:val="24"/>
              </w:rPr>
              <w:t>日</w:t>
            </w:r>
          </w:p>
        </w:tc>
        <w:tc>
          <w:tcPr>
            <w:tcW w:w="1852" w:type="dxa"/>
            <w:vAlign w:val="center"/>
          </w:tcPr>
          <w:p>
            <w:pPr>
              <w:spacing w:line="1300" w:lineRule="exact"/>
              <w:jc w:val="center"/>
              <w:rPr>
                <w:rFonts w:ascii="黑体" w:eastAsia="黑体" w:cs="黑体"/>
                <w:b/>
                <w:bCs/>
                <w:color w:val="000000"/>
                <w:w w:val="2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trPr>
        <w:tc>
          <w:tcPr>
            <w:tcW w:w="2558" w:type="dxa"/>
            <w:vAlign w:val="center"/>
          </w:tcPr>
          <w:p>
            <w:pPr>
              <w:spacing w:line="1300" w:lineRule="exact"/>
              <w:jc w:val="center"/>
              <w:rPr>
                <w:rFonts w:cs="宋体"/>
                <w:color w:val="000000"/>
                <w:sz w:val="24"/>
              </w:rPr>
            </w:pPr>
            <w:r>
              <w:rPr>
                <w:rFonts w:hint="eastAsia" w:cs="宋体"/>
                <w:color w:val="000000"/>
                <w:sz w:val="24"/>
              </w:rPr>
              <w:t>专业房地产估价人员</w:t>
            </w:r>
          </w:p>
        </w:tc>
        <w:tc>
          <w:tcPr>
            <w:tcW w:w="2278" w:type="dxa"/>
            <w:vAlign w:val="center"/>
          </w:tcPr>
          <w:p>
            <w:pPr>
              <w:spacing w:line="1300" w:lineRule="exact"/>
              <w:jc w:val="center"/>
              <w:rPr>
                <w:rFonts w:cs="宋体"/>
                <w:color w:val="000000"/>
                <w:sz w:val="24"/>
              </w:rPr>
            </w:pPr>
            <w:r>
              <w:rPr>
                <w:rFonts w:hint="eastAsia" w:cs="宋体"/>
                <w:color w:val="000000"/>
                <w:sz w:val="24"/>
              </w:rPr>
              <w:t>向玥纯</w:t>
            </w:r>
          </w:p>
        </w:tc>
        <w:tc>
          <w:tcPr>
            <w:tcW w:w="2170" w:type="dxa"/>
            <w:vAlign w:val="center"/>
          </w:tcPr>
          <w:p>
            <w:pPr>
              <w:spacing w:line="1300" w:lineRule="exact"/>
              <w:jc w:val="center"/>
              <w:rPr>
                <w:rFonts w:ascii="宋体" w:cs="黑体"/>
                <w:b/>
                <w:bCs/>
                <w:color w:val="000000"/>
                <w:w w:val="200"/>
                <w:sz w:val="24"/>
              </w:rPr>
            </w:pPr>
            <w:r>
              <w:rPr>
                <w:color w:val="000000"/>
                <w:sz w:val="24"/>
              </w:rPr>
              <w:t>2022</w:t>
            </w:r>
            <w:r>
              <w:rPr>
                <w:rFonts w:hint="eastAsia"/>
                <w:color w:val="000000"/>
                <w:sz w:val="24"/>
              </w:rPr>
              <w:t>年</w:t>
            </w:r>
            <w:r>
              <w:rPr>
                <w:color w:val="000000"/>
                <w:sz w:val="24"/>
              </w:rPr>
              <w:t>04</w:t>
            </w:r>
            <w:r>
              <w:rPr>
                <w:rFonts w:hint="eastAsia"/>
                <w:color w:val="000000"/>
                <w:sz w:val="24"/>
              </w:rPr>
              <w:t>月</w:t>
            </w:r>
            <w:r>
              <w:rPr>
                <w:color w:val="000000"/>
                <w:sz w:val="24"/>
              </w:rPr>
              <w:t>02</w:t>
            </w:r>
            <w:r>
              <w:rPr>
                <w:rFonts w:hint="eastAsia"/>
                <w:color w:val="000000"/>
                <w:sz w:val="24"/>
              </w:rPr>
              <w:t>日</w:t>
            </w:r>
          </w:p>
        </w:tc>
        <w:tc>
          <w:tcPr>
            <w:tcW w:w="1852" w:type="dxa"/>
            <w:vAlign w:val="center"/>
          </w:tcPr>
          <w:p>
            <w:pPr>
              <w:spacing w:line="1300" w:lineRule="exact"/>
              <w:jc w:val="center"/>
              <w:rPr>
                <w:rFonts w:cs="宋体"/>
                <w:color w:val="000000"/>
                <w:sz w:val="24"/>
              </w:rPr>
            </w:pPr>
          </w:p>
        </w:tc>
      </w:tr>
    </w:tbl>
    <w:p>
      <w:pPr>
        <w:jc w:val="center"/>
        <w:rPr>
          <w:rFonts w:eastAsia="黑体"/>
          <w:b/>
          <w:color w:val="000000"/>
          <w:w w:val="200"/>
          <w:sz w:val="36"/>
        </w:rPr>
      </w:pPr>
    </w:p>
    <w:p>
      <w:pPr>
        <w:jc w:val="center"/>
        <w:rPr>
          <w:rFonts w:eastAsia="黑体"/>
          <w:b/>
          <w:color w:val="000000"/>
          <w:w w:val="200"/>
          <w:sz w:val="36"/>
        </w:rPr>
      </w:pPr>
    </w:p>
    <w:p>
      <w:pPr>
        <w:jc w:val="center"/>
        <w:rPr>
          <w:rFonts w:eastAsia="黑体"/>
          <w:b/>
          <w:color w:val="000000"/>
          <w:w w:val="200"/>
          <w:sz w:val="36"/>
        </w:rPr>
      </w:pPr>
    </w:p>
    <w:p>
      <w:pPr>
        <w:jc w:val="center"/>
        <w:rPr>
          <w:rFonts w:eastAsia="黑体"/>
          <w:b/>
          <w:color w:val="000000"/>
          <w:w w:val="200"/>
          <w:sz w:val="36"/>
        </w:rPr>
      </w:pPr>
    </w:p>
    <w:p>
      <w:pPr>
        <w:jc w:val="center"/>
        <w:rPr>
          <w:rFonts w:eastAsia="黑体"/>
          <w:b/>
          <w:color w:val="000000"/>
          <w:w w:val="200"/>
          <w:sz w:val="36"/>
        </w:rPr>
      </w:pPr>
    </w:p>
    <w:p>
      <w:pPr>
        <w:jc w:val="center"/>
        <w:rPr>
          <w:rFonts w:ascii="黑体" w:eastAsia="黑体"/>
          <w:b/>
          <w:bCs/>
          <w:color w:val="000000"/>
          <w:w w:val="200"/>
          <w:szCs w:val="21"/>
        </w:rPr>
      </w:pPr>
      <w:r>
        <w:rPr>
          <w:rFonts w:eastAsia="黑体"/>
          <w:b/>
          <w:color w:val="000000"/>
          <w:w w:val="200"/>
          <w:sz w:val="36"/>
        </w:rPr>
        <w:br w:type="page"/>
      </w:r>
    </w:p>
    <w:p>
      <w:pPr>
        <w:spacing w:line="500" w:lineRule="exact"/>
        <w:jc w:val="center"/>
        <w:rPr>
          <w:rFonts w:ascii="黑体" w:eastAsia="黑体"/>
          <w:b/>
          <w:bCs/>
          <w:color w:val="000000"/>
          <w:w w:val="200"/>
          <w:szCs w:val="21"/>
        </w:rPr>
      </w:pPr>
      <w:r>
        <w:rPr>
          <w:rFonts w:hint="eastAsia" w:ascii="黑体" w:eastAsia="黑体"/>
          <w:b/>
          <w:bCs/>
          <w:color w:val="000000"/>
          <w:w w:val="200"/>
          <w:szCs w:val="21"/>
        </w:rPr>
        <w:t>没有专业帮助和未依据相关专业意见的说明</w:t>
      </w:r>
    </w:p>
    <w:p>
      <w:pPr>
        <w:spacing w:line="500" w:lineRule="exact"/>
        <w:jc w:val="center"/>
        <w:rPr>
          <w:rFonts w:ascii="黑体" w:eastAsia="黑体"/>
          <w:b/>
          <w:bCs/>
          <w:color w:val="000000"/>
          <w:w w:val="200"/>
          <w:sz w:val="24"/>
        </w:rPr>
      </w:pPr>
    </w:p>
    <w:p>
      <w:pPr>
        <w:numPr>
          <w:ilvl w:val="0"/>
          <w:numId w:val="4"/>
        </w:numPr>
        <w:spacing w:line="560" w:lineRule="exact"/>
        <w:rPr>
          <w:rFonts w:cs="宋体"/>
          <w:color w:val="000000"/>
          <w:sz w:val="24"/>
        </w:rPr>
      </w:pPr>
      <w:r>
        <w:rPr>
          <w:rFonts w:hint="eastAsia" w:cs="宋体"/>
          <w:color w:val="000000"/>
          <w:sz w:val="24"/>
        </w:rPr>
        <w:t>估价师对估价对象进行了实地查勘，并对估价对象实地查勘的客观性、真实性、公正性承担责任。但估价人员对估价对象的查勘，仅限于估价对象的外观和使用状况。由于我们未得到授权，也没有专业上的能力，估价人员未对估价对象建筑结构质量、木质工程、房地产被遮盖、未暴露以及难以接触的部分水、电、电梯或者其他设施设备等进行测试。但我们对估价对象的实地查勘仅限于其外观和使用状况，对被遮盖、未暴露及难以接触到的部分，依据估价委托人及房屋所有权人提供的资料进行估价。我们不承担对估价对象建筑结构质量进行调查核实的责任。若估价对象存在上述需进行专业检测的内部缺陷，在估价委托人提供相关资料验证后，本次报告估价结果应作相应的调整。本次估价以估价对象无建筑物基础、结构、设施设备维护保养等建筑质量方面的重大问题为估价的假设前提。</w:t>
      </w:r>
    </w:p>
    <w:p>
      <w:pPr>
        <w:numPr>
          <w:ilvl w:val="0"/>
          <w:numId w:val="4"/>
        </w:numPr>
        <w:spacing w:line="560" w:lineRule="exact"/>
        <w:rPr>
          <w:rFonts w:cs="宋体"/>
          <w:color w:val="000000"/>
          <w:sz w:val="24"/>
        </w:rPr>
      </w:pPr>
      <w:r>
        <w:rPr>
          <w:rFonts w:hint="eastAsia" w:cs="宋体"/>
          <w:color w:val="000000"/>
          <w:sz w:val="24"/>
        </w:rPr>
        <w:t>没有人对本估价报告提供重要专业帮助。</w:t>
      </w:r>
    </w:p>
    <w:p>
      <w:pPr>
        <w:numPr>
          <w:ilvl w:val="0"/>
          <w:numId w:val="4"/>
        </w:numPr>
        <w:spacing w:line="560" w:lineRule="exact"/>
        <w:rPr>
          <w:rFonts w:cs="宋体"/>
          <w:color w:val="000000"/>
          <w:sz w:val="24"/>
        </w:rPr>
      </w:pPr>
      <w:r>
        <w:rPr>
          <w:rFonts w:hint="eastAsia" w:cs="宋体"/>
          <w:color w:val="000000"/>
          <w:sz w:val="24"/>
        </w:rPr>
        <w:t>本次估价未依据相关的专业意见。</w:t>
      </w:r>
    </w:p>
    <w:p>
      <w:pPr>
        <w:spacing w:line="500" w:lineRule="exact"/>
        <w:ind w:firstLine="3064" w:firstLineChars="637"/>
        <w:rPr>
          <w:rFonts w:ascii="黑体" w:eastAsia="黑体" w:cs="黑体"/>
          <w:b/>
          <w:bCs/>
          <w:color w:val="000000"/>
          <w:w w:val="200"/>
          <w:sz w:val="24"/>
        </w:rPr>
      </w:pPr>
    </w:p>
    <w:p>
      <w:pPr>
        <w:spacing w:line="500" w:lineRule="exact"/>
        <w:ind w:firstLine="3064" w:firstLineChars="637"/>
        <w:rPr>
          <w:rFonts w:ascii="黑体" w:eastAsia="黑体" w:cs="黑体"/>
          <w:b/>
          <w:bCs/>
          <w:color w:val="000000"/>
          <w:w w:val="200"/>
          <w:sz w:val="24"/>
        </w:rPr>
      </w:pPr>
    </w:p>
    <w:p>
      <w:pPr>
        <w:spacing w:line="500" w:lineRule="exact"/>
        <w:ind w:firstLine="3064" w:firstLineChars="637"/>
        <w:rPr>
          <w:rFonts w:ascii="黑体" w:eastAsia="黑体" w:cs="黑体"/>
          <w:b/>
          <w:bCs/>
          <w:color w:val="000000"/>
          <w:w w:val="200"/>
          <w:sz w:val="24"/>
        </w:rPr>
      </w:pPr>
    </w:p>
    <w:p>
      <w:pPr>
        <w:pStyle w:val="5"/>
        <w:spacing w:line="500" w:lineRule="exact"/>
        <w:ind w:left="1320" w:hanging="480"/>
        <w:jc w:val="right"/>
        <w:rPr>
          <w:rFonts w:ascii="黑体" w:eastAsia="黑体"/>
          <w:color w:val="000000"/>
          <w:sz w:val="24"/>
        </w:rPr>
      </w:pPr>
      <w:r>
        <w:rPr>
          <w:rFonts w:hint="eastAsia" w:ascii="黑体" w:eastAsia="黑体" w:cs="黑体"/>
          <w:color w:val="000000"/>
          <w:sz w:val="24"/>
        </w:rPr>
        <w:t>四川省同正地产房地产估价有限责任公司</w:t>
      </w:r>
    </w:p>
    <w:p>
      <w:pPr>
        <w:spacing w:line="500" w:lineRule="exact"/>
        <w:jc w:val="right"/>
        <w:rPr>
          <w:color w:val="000000"/>
          <w:sz w:val="24"/>
        </w:rPr>
      </w:pPr>
      <w:r>
        <w:rPr>
          <w:rFonts w:hint="eastAsia"/>
          <w:color w:val="000000"/>
          <w:sz w:val="24"/>
        </w:rPr>
        <w:t>二○二二年四月六日</w:t>
      </w:r>
    </w:p>
    <w:p>
      <w:pPr>
        <w:spacing w:line="500" w:lineRule="exact"/>
        <w:jc w:val="right"/>
        <w:rPr>
          <w:rFonts w:ascii="黑体" w:eastAsia="黑体" w:cs="黑体"/>
          <w:color w:val="000000"/>
          <w:sz w:val="24"/>
          <w:szCs w:val="20"/>
        </w:rPr>
      </w:pPr>
    </w:p>
    <w:p>
      <w:pPr>
        <w:jc w:val="center"/>
        <w:rPr>
          <w:rFonts w:eastAsia="黑体"/>
          <w:b/>
          <w:color w:val="000000"/>
          <w:w w:val="200"/>
          <w:sz w:val="36"/>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r>
        <w:drawing>
          <wp:anchor distT="0" distB="0" distL="114300" distR="114300" simplePos="0" relativeHeight="251661312" behindDoc="1" locked="0" layoutInCell="1" allowOverlap="1">
            <wp:simplePos x="0" y="0"/>
            <wp:positionH relativeFrom="column">
              <wp:posOffset>-38100</wp:posOffset>
            </wp:positionH>
            <wp:positionV relativeFrom="paragraph">
              <wp:posOffset>198120</wp:posOffset>
            </wp:positionV>
            <wp:extent cx="5820410" cy="8260080"/>
            <wp:effectExtent l="0" t="0" r="8890" b="7620"/>
            <wp:wrapNone/>
            <wp:docPr id="3" name="图片 13" descr="营业执照副本（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营业执照副本（2020）"/>
                    <pic:cNvPicPr>
                      <a:picLocks noChangeAspect="1"/>
                    </pic:cNvPicPr>
                  </pic:nvPicPr>
                  <pic:blipFill>
                    <a:blip r:embed="rId13">
                      <a:grayscl/>
                    </a:blip>
                    <a:stretch>
                      <a:fillRect/>
                    </a:stretch>
                  </pic:blipFill>
                  <pic:spPr>
                    <a:xfrm>
                      <a:off x="0" y="0"/>
                      <a:ext cx="5820410" cy="8260080"/>
                    </a:xfrm>
                    <a:prstGeom prst="rect">
                      <a:avLst/>
                    </a:prstGeom>
                    <a:noFill/>
                    <a:ln>
                      <a:noFill/>
                    </a:ln>
                  </pic:spPr>
                </pic:pic>
              </a:graphicData>
            </a:graphic>
          </wp:anchor>
        </w:drawing>
      </w: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r>
        <w:drawing>
          <wp:anchor distT="0" distB="0" distL="114300" distR="114300" simplePos="0" relativeHeight="251662336" behindDoc="1" locked="0" layoutInCell="1" allowOverlap="1">
            <wp:simplePos x="0" y="0"/>
            <wp:positionH relativeFrom="column">
              <wp:posOffset>209550</wp:posOffset>
            </wp:positionH>
            <wp:positionV relativeFrom="paragraph">
              <wp:posOffset>30480</wp:posOffset>
            </wp:positionV>
            <wp:extent cx="5370830" cy="7726680"/>
            <wp:effectExtent l="0" t="0" r="1270" b="7620"/>
            <wp:wrapNone/>
            <wp:docPr id="4" name="图片 14" descr="2019房地产备案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2019房地产备案证书"/>
                    <pic:cNvPicPr>
                      <a:picLocks noChangeAspect="1"/>
                    </pic:cNvPicPr>
                  </pic:nvPicPr>
                  <pic:blipFill>
                    <a:blip r:embed="rId14">
                      <a:grayscl/>
                    </a:blip>
                    <a:stretch>
                      <a:fillRect/>
                    </a:stretch>
                  </pic:blipFill>
                  <pic:spPr>
                    <a:xfrm>
                      <a:off x="0" y="0"/>
                      <a:ext cx="5370830" cy="7726680"/>
                    </a:xfrm>
                    <a:prstGeom prst="rect">
                      <a:avLst/>
                    </a:prstGeom>
                    <a:noFill/>
                    <a:ln>
                      <a:noFill/>
                    </a:ln>
                  </pic:spPr>
                </pic:pic>
              </a:graphicData>
            </a:graphic>
          </wp:anchor>
        </w:drawing>
      </w: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r>
        <w:drawing>
          <wp:anchor distT="0" distB="0" distL="114300" distR="114300" simplePos="0" relativeHeight="251662336" behindDoc="1" locked="0" layoutInCell="1" allowOverlap="1">
            <wp:simplePos x="0" y="0"/>
            <wp:positionH relativeFrom="column">
              <wp:posOffset>114300</wp:posOffset>
            </wp:positionH>
            <wp:positionV relativeFrom="paragraph">
              <wp:posOffset>99060</wp:posOffset>
            </wp:positionV>
            <wp:extent cx="5499100" cy="4009390"/>
            <wp:effectExtent l="0" t="0" r="6350" b="10160"/>
            <wp:wrapNone/>
            <wp:docPr id="5" name="图片 15" descr="文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文强1"/>
                    <pic:cNvPicPr>
                      <a:picLocks noChangeAspect="1"/>
                    </pic:cNvPicPr>
                  </pic:nvPicPr>
                  <pic:blipFill>
                    <a:blip r:embed="rId15">
                      <a:grayscl/>
                    </a:blip>
                    <a:stretch>
                      <a:fillRect/>
                    </a:stretch>
                  </pic:blipFill>
                  <pic:spPr>
                    <a:xfrm>
                      <a:off x="0" y="0"/>
                      <a:ext cx="5499100" cy="4009390"/>
                    </a:xfrm>
                    <a:prstGeom prst="rect">
                      <a:avLst/>
                    </a:prstGeom>
                    <a:noFill/>
                    <a:ln>
                      <a:noFill/>
                    </a:ln>
                  </pic:spPr>
                </pic:pic>
              </a:graphicData>
            </a:graphic>
          </wp:anchor>
        </w:drawing>
      </w: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r>
        <w:drawing>
          <wp:anchor distT="0" distB="0" distL="114300" distR="114300" simplePos="0" relativeHeight="251664384" behindDoc="1" locked="0" layoutInCell="1" allowOverlap="1">
            <wp:simplePos x="0" y="0"/>
            <wp:positionH relativeFrom="column">
              <wp:posOffset>152400</wp:posOffset>
            </wp:positionH>
            <wp:positionV relativeFrom="paragraph">
              <wp:posOffset>259080</wp:posOffset>
            </wp:positionV>
            <wp:extent cx="5380990" cy="3757295"/>
            <wp:effectExtent l="0" t="0" r="10160" b="1460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6">
                      <a:lum bright="6000" contrast="12000"/>
                    </a:blip>
                    <a:stretch>
                      <a:fillRect/>
                    </a:stretch>
                  </pic:blipFill>
                  <pic:spPr>
                    <a:xfrm>
                      <a:off x="0" y="0"/>
                      <a:ext cx="5380990" cy="3757295"/>
                    </a:xfrm>
                    <a:prstGeom prst="rect">
                      <a:avLst/>
                    </a:prstGeom>
                    <a:noFill/>
                    <a:ln>
                      <a:noFill/>
                    </a:ln>
                  </pic:spPr>
                </pic:pic>
              </a:graphicData>
            </a:graphic>
          </wp:anchor>
        </w:drawing>
      </w: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ind w:left="2316" w:firstLine="600"/>
        <w:rPr>
          <w:rFonts w:ascii="宋体"/>
          <w:color w:val="000000"/>
          <w:sz w:val="24"/>
        </w:rPr>
      </w:pPr>
    </w:p>
    <w:p>
      <w:pPr>
        <w:spacing w:line="420" w:lineRule="exact"/>
        <w:rPr>
          <w:rFonts w:ascii="宋体"/>
          <w:color w:val="000000"/>
          <w:sz w:val="24"/>
        </w:rPr>
      </w:pPr>
    </w:p>
    <w:sectPr>
      <w:pgSz w:w="11906" w:h="16838"/>
      <w:pgMar w:top="1814" w:right="1361" w:bottom="1361" w:left="1588" w:header="851" w:footer="992" w:gutter="0"/>
      <w:pgNumType w:start="3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FangSong_GB2312falt">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9"/>
      </w:rPr>
    </w:pPr>
    <w:r>
      <w:rPr>
        <w:rStyle w:val="39"/>
      </w:rPr>
      <w:fldChar w:fldCharType="begin"/>
    </w:r>
    <w:r>
      <w:rPr>
        <w:rStyle w:val="39"/>
      </w:rPr>
      <w:instrText xml:space="preserve">PAGE  </w:instrText>
    </w:r>
    <w:r>
      <w:rPr>
        <w:rStyle w:val="39"/>
      </w:rPr>
      <w:fldChar w:fldCharType="separate"/>
    </w:r>
    <w:r>
      <w:rPr>
        <w:rStyle w:val="39"/>
      </w:rPr>
      <w:t>6</w:t>
    </w:r>
    <w:r>
      <w:rPr>
        <w:rStyle w:val="39"/>
      </w:rP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9"/>
      </w:rPr>
    </w:pPr>
    <w:r>
      <w:rPr>
        <w:rStyle w:val="39"/>
      </w:rPr>
      <w:fldChar w:fldCharType="begin"/>
    </w:r>
    <w:r>
      <w:rPr>
        <w:rStyle w:val="39"/>
      </w:rPr>
      <w:instrText xml:space="preserve">PAGE  </w:instrText>
    </w:r>
    <w:r>
      <w:rPr>
        <w:rStyle w:val="39"/>
      </w:rPr>
      <w:fldChar w:fldCharType="separate"/>
    </w:r>
    <w:r>
      <w:rPr>
        <w:rStyle w:val="39"/>
      </w:rPr>
      <w:t>36</w:t>
    </w:r>
    <w:r>
      <w:rPr>
        <w:rStyle w:val="39"/>
      </w:rPr>
      <w:fldChar w:fldCharType="end"/>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F45A9E"/>
    <w:multiLevelType w:val="multilevel"/>
    <w:tmpl w:val="12F45A9E"/>
    <w:lvl w:ilvl="0" w:tentative="0">
      <w:start w:val="1"/>
      <w:numFmt w:val="decimal"/>
      <w:lvlText w:val="%1、"/>
      <w:lvlJc w:val="left"/>
      <w:pPr>
        <w:ind w:left="1560" w:hanging="720"/>
      </w:pPr>
      <w:rPr>
        <w:rFonts w:hint="default" w:cs="Times New Roman"/>
      </w:rPr>
    </w:lvl>
    <w:lvl w:ilvl="1" w:tentative="0">
      <w:start w:val="1"/>
      <w:numFmt w:val="lowerLetter"/>
      <w:lvlText w:val="%2)"/>
      <w:lvlJc w:val="left"/>
      <w:pPr>
        <w:ind w:left="1680" w:hanging="420"/>
      </w:pPr>
      <w:rPr>
        <w:rFonts w:cs="Times New Roman"/>
      </w:rPr>
    </w:lvl>
    <w:lvl w:ilvl="2" w:tentative="0">
      <w:start w:val="1"/>
      <w:numFmt w:val="lowerRoman"/>
      <w:lvlText w:val="%3."/>
      <w:lvlJc w:val="right"/>
      <w:pPr>
        <w:ind w:left="2100" w:hanging="420"/>
      </w:pPr>
      <w:rPr>
        <w:rFonts w:cs="Times New Roman"/>
      </w:rPr>
    </w:lvl>
    <w:lvl w:ilvl="3" w:tentative="0">
      <w:start w:val="1"/>
      <w:numFmt w:val="decimal"/>
      <w:lvlText w:val="%4."/>
      <w:lvlJc w:val="left"/>
      <w:pPr>
        <w:ind w:left="2520" w:hanging="420"/>
      </w:pPr>
      <w:rPr>
        <w:rFonts w:cs="Times New Roman"/>
      </w:rPr>
    </w:lvl>
    <w:lvl w:ilvl="4" w:tentative="0">
      <w:start w:val="1"/>
      <w:numFmt w:val="lowerLetter"/>
      <w:lvlText w:val="%5)"/>
      <w:lvlJc w:val="left"/>
      <w:pPr>
        <w:ind w:left="2940" w:hanging="420"/>
      </w:pPr>
      <w:rPr>
        <w:rFonts w:cs="Times New Roman"/>
      </w:rPr>
    </w:lvl>
    <w:lvl w:ilvl="5" w:tentative="0">
      <w:start w:val="1"/>
      <w:numFmt w:val="lowerRoman"/>
      <w:lvlText w:val="%6."/>
      <w:lvlJc w:val="right"/>
      <w:pPr>
        <w:ind w:left="3360" w:hanging="420"/>
      </w:pPr>
      <w:rPr>
        <w:rFonts w:cs="Times New Roman"/>
      </w:rPr>
    </w:lvl>
    <w:lvl w:ilvl="6" w:tentative="0">
      <w:start w:val="1"/>
      <w:numFmt w:val="decimal"/>
      <w:lvlText w:val="%7."/>
      <w:lvlJc w:val="left"/>
      <w:pPr>
        <w:ind w:left="3780" w:hanging="420"/>
      </w:pPr>
      <w:rPr>
        <w:rFonts w:cs="Times New Roman"/>
      </w:rPr>
    </w:lvl>
    <w:lvl w:ilvl="7" w:tentative="0">
      <w:start w:val="1"/>
      <w:numFmt w:val="lowerLetter"/>
      <w:lvlText w:val="%8)"/>
      <w:lvlJc w:val="left"/>
      <w:pPr>
        <w:ind w:left="4200" w:hanging="420"/>
      </w:pPr>
      <w:rPr>
        <w:rFonts w:cs="Times New Roman"/>
      </w:rPr>
    </w:lvl>
    <w:lvl w:ilvl="8" w:tentative="0">
      <w:start w:val="1"/>
      <w:numFmt w:val="lowerRoman"/>
      <w:lvlText w:val="%9."/>
      <w:lvlJc w:val="right"/>
      <w:pPr>
        <w:ind w:left="4620" w:hanging="420"/>
      </w:pPr>
      <w:rPr>
        <w:rFonts w:cs="Times New Roman"/>
      </w:rPr>
    </w:lvl>
  </w:abstractNum>
  <w:abstractNum w:abstractNumId="1">
    <w:nsid w:val="52444C8F"/>
    <w:multiLevelType w:val="multilevel"/>
    <w:tmpl w:val="52444C8F"/>
    <w:lvl w:ilvl="0" w:tentative="0">
      <w:start w:val="2"/>
      <w:numFmt w:val="decimal"/>
      <w:lvlText w:val="%1、"/>
      <w:lvlJc w:val="left"/>
      <w:pPr>
        <w:ind w:left="798" w:hanging="372"/>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2">
    <w:nsid w:val="72613A8B"/>
    <w:multiLevelType w:val="multilevel"/>
    <w:tmpl w:val="72613A8B"/>
    <w:lvl w:ilvl="0" w:tentative="0">
      <w:start w:val="1"/>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74ED6B36"/>
    <w:multiLevelType w:val="multilevel"/>
    <w:tmpl w:val="74ED6B36"/>
    <w:lvl w:ilvl="0" w:tentative="0">
      <w:start w:val="1"/>
      <w:numFmt w:val="decimal"/>
      <w:lvlText w:val="（%1）"/>
      <w:lvlJc w:val="left"/>
      <w:pPr>
        <w:ind w:left="1202" w:hanging="720"/>
      </w:pPr>
      <w:rPr>
        <w:rFonts w:hint="default" w:cs="Times New Roman"/>
        <w:b/>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0"/>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DA9"/>
    <w:rsid w:val="00001047"/>
    <w:rsid w:val="000010A2"/>
    <w:rsid w:val="0000293F"/>
    <w:rsid w:val="000033F5"/>
    <w:rsid w:val="00003A78"/>
    <w:rsid w:val="00003F1B"/>
    <w:rsid w:val="00004807"/>
    <w:rsid w:val="00004F54"/>
    <w:rsid w:val="0000596A"/>
    <w:rsid w:val="000061CF"/>
    <w:rsid w:val="0000728C"/>
    <w:rsid w:val="0000730B"/>
    <w:rsid w:val="00010105"/>
    <w:rsid w:val="00011499"/>
    <w:rsid w:val="00012504"/>
    <w:rsid w:val="0001408A"/>
    <w:rsid w:val="00015AC3"/>
    <w:rsid w:val="000200E2"/>
    <w:rsid w:val="00020CF8"/>
    <w:rsid w:val="00021F92"/>
    <w:rsid w:val="000236CB"/>
    <w:rsid w:val="000250AB"/>
    <w:rsid w:val="00027B65"/>
    <w:rsid w:val="00031928"/>
    <w:rsid w:val="00031D49"/>
    <w:rsid w:val="0003229A"/>
    <w:rsid w:val="00032BBD"/>
    <w:rsid w:val="0003343C"/>
    <w:rsid w:val="00034A78"/>
    <w:rsid w:val="000369C4"/>
    <w:rsid w:val="000418EE"/>
    <w:rsid w:val="0004505C"/>
    <w:rsid w:val="00045841"/>
    <w:rsid w:val="00046C4A"/>
    <w:rsid w:val="00047907"/>
    <w:rsid w:val="00047C2A"/>
    <w:rsid w:val="00047ECA"/>
    <w:rsid w:val="00050152"/>
    <w:rsid w:val="00050287"/>
    <w:rsid w:val="00050539"/>
    <w:rsid w:val="00050D78"/>
    <w:rsid w:val="00051D84"/>
    <w:rsid w:val="00052407"/>
    <w:rsid w:val="00053D13"/>
    <w:rsid w:val="00055207"/>
    <w:rsid w:val="000555CB"/>
    <w:rsid w:val="00055EEB"/>
    <w:rsid w:val="00056D0C"/>
    <w:rsid w:val="000574AB"/>
    <w:rsid w:val="00057EDE"/>
    <w:rsid w:val="00061990"/>
    <w:rsid w:val="00061DA6"/>
    <w:rsid w:val="00063904"/>
    <w:rsid w:val="00064B82"/>
    <w:rsid w:val="00064E2F"/>
    <w:rsid w:val="00064E44"/>
    <w:rsid w:val="00066F68"/>
    <w:rsid w:val="000670EA"/>
    <w:rsid w:val="00070204"/>
    <w:rsid w:val="000713C6"/>
    <w:rsid w:val="0007239B"/>
    <w:rsid w:val="00072A51"/>
    <w:rsid w:val="0007307E"/>
    <w:rsid w:val="00073924"/>
    <w:rsid w:val="00076974"/>
    <w:rsid w:val="0007752E"/>
    <w:rsid w:val="00077D8F"/>
    <w:rsid w:val="00077DFA"/>
    <w:rsid w:val="00077F97"/>
    <w:rsid w:val="00080910"/>
    <w:rsid w:val="00080EF7"/>
    <w:rsid w:val="0008127D"/>
    <w:rsid w:val="0008174B"/>
    <w:rsid w:val="0008200B"/>
    <w:rsid w:val="00082063"/>
    <w:rsid w:val="00083A71"/>
    <w:rsid w:val="0008450D"/>
    <w:rsid w:val="0008469B"/>
    <w:rsid w:val="00084D92"/>
    <w:rsid w:val="000862CD"/>
    <w:rsid w:val="000900CC"/>
    <w:rsid w:val="000901B3"/>
    <w:rsid w:val="00090BD4"/>
    <w:rsid w:val="00091F66"/>
    <w:rsid w:val="00094556"/>
    <w:rsid w:val="000949DC"/>
    <w:rsid w:val="00094EB1"/>
    <w:rsid w:val="00094FFC"/>
    <w:rsid w:val="00095C89"/>
    <w:rsid w:val="00096328"/>
    <w:rsid w:val="000969CF"/>
    <w:rsid w:val="00096F16"/>
    <w:rsid w:val="000A0568"/>
    <w:rsid w:val="000A11B0"/>
    <w:rsid w:val="000A1EEA"/>
    <w:rsid w:val="000A2965"/>
    <w:rsid w:val="000A2A0F"/>
    <w:rsid w:val="000A2CA4"/>
    <w:rsid w:val="000A30D5"/>
    <w:rsid w:val="000A3265"/>
    <w:rsid w:val="000A3BC0"/>
    <w:rsid w:val="000A41CE"/>
    <w:rsid w:val="000A4690"/>
    <w:rsid w:val="000A50A4"/>
    <w:rsid w:val="000A5197"/>
    <w:rsid w:val="000A586D"/>
    <w:rsid w:val="000A733A"/>
    <w:rsid w:val="000A7734"/>
    <w:rsid w:val="000B0239"/>
    <w:rsid w:val="000B08C8"/>
    <w:rsid w:val="000B0B45"/>
    <w:rsid w:val="000B1066"/>
    <w:rsid w:val="000B2846"/>
    <w:rsid w:val="000B2C45"/>
    <w:rsid w:val="000B2E56"/>
    <w:rsid w:val="000B34F6"/>
    <w:rsid w:val="000B4046"/>
    <w:rsid w:val="000B532D"/>
    <w:rsid w:val="000B695B"/>
    <w:rsid w:val="000B75A5"/>
    <w:rsid w:val="000C178B"/>
    <w:rsid w:val="000C3217"/>
    <w:rsid w:val="000C388C"/>
    <w:rsid w:val="000C3FFC"/>
    <w:rsid w:val="000C4334"/>
    <w:rsid w:val="000C5028"/>
    <w:rsid w:val="000C6830"/>
    <w:rsid w:val="000C7509"/>
    <w:rsid w:val="000D06D9"/>
    <w:rsid w:val="000D1B37"/>
    <w:rsid w:val="000D31F8"/>
    <w:rsid w:val="000D3DF4"/>
    <w:rsid w:val="000D5145"/>
    <w:rsid w:val="000D5903"/>
    <w:rsid w:val="000D6B7F"/>
    <w:rsid w:val="000D72B8"/>
    <w:rsid w:val="000E0FE1"/>
    <w:rsid w:val="000E15E8"/>
    <w:rsid w:val="000E210F"/>
    <w:rsid w:val="000E21A4"/>
    <w:rsid w:val="000E2489"/>
    <w:rsid w:val="000E27F9"/>
    <w:rsid w:val="000E2E83"/>
    <w:rsid w:val="000E3732"/>
    <w:rsid w:val="000E4389"/>
    <w:rsid w:val="000E6C6E"/>
    <w:rsid w:val="000E6F05"/>
    <w:rsid w:val="000F0C9F"/>
    <w:rsid w:val="000F0F89"/>
    <w:rsid w:val="000F115E"/>
    <w:rsid w:val="000F1706"/>
    <w:rsid w:val="000F1960"/>
    <w:rsid w:val="000F2383"/>
    <w:rsid w:val="000F2744"/>
    <w:rsid w:val="000F2B48"/>
    <w:rsid w:val="000F5D6D"/>
    <w:rsid w:val="000F637B"/>
    <w:rsid w:val="000F6A6A"/>
    <w:rsid w:val="000F70EC"/>
    <w:rsid w:val="000F7144"/>
    <w:rsid w:val="0010194C"/>
    <w:rsid w:val="00101D85"/>
    <w:rsid w:val="001023CE"/>
    <w:rsid w:val="0010252E"/>
    <w:rsid w:val="001034F4"/>
    <w:rsid w:val="00103F2B"/>
    <w:rsid w:val="00103F85"/>
    <w:rsid w:val="00104384"/>
    <w:rsid w:val="00104691"/>
    <w:rsid w:val="00104DFA"/>
    <w:rsid w:val="0010508F"/>
    <w:rsid w:val="001057EB"/>
    <w:rsid w:val="001066D1"/>
    <w:rsid w:val="0010734E"/>
    <w:rsid w:val="00107740"/>
    <w:rsid w:val="001077A0"/>
    <w:rsid w:val="00110137"/>
    <w:rsid w:val="00111477"/>
    <w:rsid w:val="00111EBB"/>
    <w:rsid w:val="00113896"/>
    <w:rsid w:val="00113E79"/>
    <w:rsid w:val="00113F1C"/>
    <w:rsid w:val="00116B3F"/>
    <w:rsid w:val="00116EDB"/>
    <w:rsid w:val="00117CDB"/>
    <w:rsid w:val="001222D3"/>
    <w:rsid w:val="001236AC"/>
    <w:rsid w:val="00123915"/>
    <w:rsid w:val="00124A58"/>
    <w:rsid w:val="00126211"/>
    <w:rsid w:val="001301A5"/>
    <w:rsid w:val="0013021E"/>
    <w:rsid w:val="001305FE"/>
    <w:rsid w:val="001312AD"/>
    <w:rsid w:val="0013258A"/>
    <w:rsid w:val="001348EB"/>
    <w:rsid w:val="00135E21"/>
    <w:rsid w:val="00136EB5"/>
    <w:rsid w:val="00137702"/>
    <w:rsid w:val="00142851"/>
    <w:rsid w:val="00142AD7"/>
    <w:rsid w:val="00142C14"/>
    <w:rsid w:val="00142D6A"/>
    <w:rsid w:val="001439B0"/>
    <w:rsid w:val="001442AE"/>
    <w:rsid w:val="001444AF"/>
    <w:rsid w:val="001458A6"/>
    <w:rsid w:val="001464F3"/>
    <w:rsid w:val="001466DE"/>
    <w:rsid w:val="0015012B"/>
    <w:rsid w:val="00150466"/>
    <w:rsid w:val="00150CDE"/>
    <w:rsid w:val="00150DC7"/>
    <w:rsid w:val="001512F3"/>
    <w:rsid w:val="0015173C"/>
    <w:rsid w:val="00151AEB"/>
    <w:rsid w:val="00152A09"/>
    <w:rsid w:val="00152F0D"/>
    <w:rsid w:val="00153EC3"/>
    <w:rsid w:val="00154084"/>
    <w:rsid w:val="001547C1"/>
    <w:rsid w:val="00154C52"/>
    <w:rsid w:val="00154DD8"/>
    <w:rsid w:val="001553B6"/>
    <w:rsid w:val="00155B59"/>
    <w:rsid w:val="00155DE8"/>
    <w:rsid w:val="00160689"/>
    <w:rsid w:val="00160EC2"/>
    <w:rsid w:val="00162011"/>
    <w:rsid w:val="00162FBE"/>
    <w:rsid w:val="00163312"/>
    <w:rsid w:val="00163428"/>
    <w:rsid w:val="00163708"/>
    <w:rsid w:val="00163AE7"/>
    <w:rsid w:val="001642AA"/>
    <w:rsid w:val="0016536A"/>
    <w:rsid w:val="00165A13"/>
    <w:rsid w:val="001663E6"/>
    <w:rsid w:val="001672CF"/>
    <w:rsid w:val="00167CCF"/>
    <w:rsid w:val="0017040C"/>
    <w:rsid w:val="0017133D"/>
    <w:rsid w:val="00172A27"/>
    <w:rsid w:val="001731F2"/>
    <w:rsid w:val="001742B4"/>
    <w:rsid w:val="001746AB"/>
    <w:rsid w:val="001765FB"/>
    <w:rsid w:val="00176F99"/>
    <w:rsid w:val="001779EB"/>
    <w:rsid w:val="001823FF"/>
    <w:rsid w:val="00182ACD"/>
    <w:rsid w:val="00184616"/>
    <w:rsid w:val="001852A2"/>
    <w:rsid w:val="00185CA3"/>
    <w:rsid w:val="00185D22"/>
    <w:rsid w:val="00185D79"/>
    <w:rsid w:val="00186EE9"/>
    <w:rsid w:val="00186FE2"/>
    <w:rsid w:val="001872C7"/>
    <w:rsid w:val="001873C7"/>
    <w:rsid w:val="001879EE"/>
    <w:rsid w:val="00187BA5"/>
    <w:rsid w:val="00190262"/>
    <w:rsid w:val="001906F6"/>
    <w:rsid w:val="00190844"/>
    <w:rsid w:val="00190F4F"/>
    <w:rsid w:val="00192040"/>
    <w:rsid w:val="00192204"/>
    <w:rsid w:val="001925C7"/>
    <w:rsid w:val="00192761"/>
    <w:rsid w:val="00193389"/>
    <w:rsid w:val="00193B23"/>
    <w:rsid w:val="00193BFF"/>
    <w:rsid w:val="001954CC"/>
    <w:rsid w:val="00195543"/>
    <w:rsid w:val="00195664"/>
    <w:rsid w:val="00195781"/>
    <w:rsid w:val="00196F64"/>
    <w:rsid w:val="00197331"/>
    <w:rsid w:val="001A1431"/>
    <w:rsid w:val="001A366E"/>
    <w:rsid w:val="001A4BCD"/>
    <w:rsid w:val="001A4E53"/>
    <w:rsid w:val="001A6BF0"/>
    <w:rsid w:val="001A789E"/>
    <w:rsid w:val="001A7B64"/>
    <w:rsid w:val="001B0289"/>
    <w:rsid w:val="001B31F5"/>
    <w:rsid w:val="001B337C"/>
    <w:rsid w:val="001B3C32"/>
    <w:rsid w:val="001B4D08"/>
    <w:rsid w:val="001B5064"/>
    <w:rsid w:val="001B54FD"/>
    <w:rsid w:val="001B5630"/>
    <w:rsid w:val="001B6214"/>
    <w:rsid w:val="001B67C2"/>
    <w:rsid w:val="001B69A4"/>
    <w:rsid w:val="001B7CB1"/>
    <w:rsid w:val="001C05F5"/>
    <w:rsid w:val="001C097D"/>
    <w:rsid w:val="001C098E"/>
    <w:rsid w:val="001C09E4"/>
    <w:rsid w:val="001C22DA"/>
    <w:rsid w:val="001C24AA"/>
    <w:rsid w:val="001C382E"/>
    <w:rsid w:val="001C3B97"/>
    <w:rsid w:val="001C4185"/>
    <w:rsid w:val="001C667D"/>
    <w:rsid w:val="001C67E9"/>
    <w:rsid w:val="001C72A0"/>
    <w:rsid w:val="001C78EC"/>
    <w:rsid w:val="001D009A"/>
    <w:rsid w:val="001D0245"/>
    <w:rsid w:val="001D0936"/>
    <w:rsid w:val="001D0D1B"/>
    <w:rsid w:val="001D1FE5"/>
    <w:rsid w:val="001D2789"/>
    <w:rsid w:val="001D305B"/>
    <w:rsid w:val="001D356E"/>
    <w:rsid w:val="001D52BC"/>
    <w:rsid w:val="001D71B9"/>
    <w:rsid w:val="001D773C"/>
    <w:rsid w:val="001E0378"/>
    <w:rsid w:val="001E115C"/>
    <w:rsid w:val="001E1CFB"/>
    <w:rsid w:val="001E221B"/>
    <w:rsid w:val="001E355A"/>
    <w:rsid w:val="001E4668"/>
    <w:rsid w:val="001E4756"/>
    <w:rsid w:val="001E48DD"/>
    <w:rsid w:val="001E5D9C"/>
    <w:rsid w:val="001F0EE2"/>
    <w:rsid w:val="001F1C38"/>
    <w:rsid w:val="001F2902"/>
    <w:rsid w:val="001F2BF4"/>
    <w:rsid w:val="001F3910"/>
    <w:rsid w:val="001F39CF"/>
    <w:rsid w:val="001F4724"/>
    <w:rsid w:val="001F5935"/>
    <w:rsid w:val="001F593E"/>
    <w:rsid w:val="001F7D84"/>
    <w:rsid w:val="002000E5"/>
    <w:rsid w:val="002010FC"/>
    <w:rsid w:val="002012EE"/>
    <w:rsid w:val="00202611"/>
    <w:rsid w:val="00202EE4"/>
    <w:rsid w:val="00203101"/>
    <w:rsid w:val="00203DB8"/>
    <w:rsid w:val="00203E43"/>
    <w:rsid w:val="00204C4C"/>
    <w:rsid w:val="00205054"/>
    <w:rsid w:val="00205AE4"/>
    <w:rsid w:val="00206AD8"/>
    <w:rsid w:val="0021003F"/>
    <w:rsid w:val="00212855"/>
    <w:rsid w:val="00212E10"/>
    <w:rsid w:val="00212E6E"/>
    <w:rsid w:val="00214247"/>
    <w:rsid w:val="002148C4"/>
    <w:rsid w:val="002154BD"/>
    <w:rsid w:val="002158DB"/>
    <w:rsid w:val="00215A94"/>
    <w:rsid w:val="00217788"/>
    <w:rsid w:val="00217A22"/>
    <w:rsid w:val="00217CA7"/>
    <w:rsid w:val="00217DA6"/>
    <w:rsid w:val="0022040A"/>
    <w:rsid w:val="002206FE"/>
    <w:rsid w:val="00220BFD"/>
    <w:rsid w:val="00220D2B"/>
    <w:rsid w:val="002214F8"/>
    <w:rsid w:val="00221FB9"/>
    <w:rsid w:val="0022372F"/>
    <w:rsid w:val="0022398B"/>
    <w:rsid w:val="00223BAE"/>
    <w:rsid w:val="002251D5"/>
    <w:rsid w:val="00226E2D"/>
    <w:rsid w:val="002306C0"/>
    <w:rsid w:val="00230B19"/>
    <w:rsid w:val="002310A7"/>
    <w:rsid w:val="00231D8E"/>
    <w:rsid w:val="002325B8"/>
    <w:rsid w:val="00232829"/>
    <w:rsid w:val="002334FD"/>
    <w:rsid w:val="0023439B"/>
    <w:rsid w:val="002344A1"/>
    <w:rsid w:val="00235521"/>
    <w:rsid w:val="00237477"/>
    <w:rsid w:val="002376B6"/>
    <w:rsid w:val="00240266"/>
    <w:rsid w:val="002403ED"/>
    <w:rsid w:val="002409F6"/>
    <w:rsid w:val="00240E12"/>
    <w:rsid w:val="0024142A"/>
    <w:rsid w:val="00241B46"/>
    <w:rsid w:val="002422BA"/>
    <w:rsid w:val="00242807"/>
    <w:rsid w:val="002429A9"/>
    <w:rsid w:val="00242B07"/>
    <w:rsid w:val="00242B35"/>
    <w:rsid w:val="0024389A"/>
    <w:rsid w:val="002439EA"/>
    <w:rsid w:val="002448F6"/>
    <w:rsid w:val="00245ED4"/>
    <w:rsid w:val="002461EE"/>
    <w:rsid w:val="002465FF"/>
    <w:rsid w:val="0024666A"/>
    <w:rsid w:val="00247EFD"/>
    <w:rsid w:val="0025139C"/>
    <w:rsid w:val="00251457"/>
    <w:rsid w:val="00251FE7"/>
    <w:rsid w:val="00252969"/>
    <w:rsid w:val="002538C9"/>
    <w:rsid w:val="002543FE"/>
    <w:rsid w:val="0025572F"/>
    <w:rsid w:val="00256748"/>
    <w:rsid w:val="0025690C"/>
    <w:rsid w:val="002621A5"/>
    <w:rsid w:val="002638A1"/>
    <w:rsid w:val="002638E7"/>
    <w:rsid w:val="00264BE2"/>
    <w:rsid w:val="00265694"/>
    <w:rsid w:val="00265DC2"/>
    <w:rsid w:val="00266099"/>
    <w:rsid w:val="00266171"/>
    <w:rsid w:val="00266977"/>
    <w:rsid w:val="00270DBC"/>
    <w:rsid w:val="00271177"/>
    <w:rsid w:val="002712D4"/>
    <w:rsid w:val="00272CD7"/>
    <w:rsid w:val="002730A7"/>
    <w:rsid w:val="002730C3"/>
    <w:rsid w:val="0027490D"/>
    <w:rsid w:val="00275F58"/>
    <w:rsid w:val="002762F5"/>
    <w:rsid w:val="00276EEB"/>
    <w:rsid w:val="00280A70"/>
    <w:rsid w:val="00280F8D"/>
    <w:rsid w:val="00281521"/>
    <w:rsid w:val="002818BE"/>
    <w:rsid w:val="002819F8"/>
    <w:rsid w:val="00281F7E"/>
    <w:rsid w:val="002820A0"/>
    <w:rsid w:val="00282448"/>
    <w:rsid w:val="00282A22"/>
    <w:rsid w:val="00282DA5"/>
    <w:rsid w:val="002842D4"/>
    <w:rsid w:val="00285825"/>
    <w:rsid w:val="00286558"/>
    <w:rsid w:val="002901FB"/>
    <w:rsid w:val="00290737"/>
    <w:rsid w:val="00292540"/>
    <w:rsid w:val="00292F5A"/>
    <w:rsid w:val="002950BD"/>
    <w:rsid w:val="002951CE"/>
    <w:rsid w:val="0029645B"/>
    <w:rsid w:val="002974A6"/>
    <w:rsid w:val="0029788C"/>
    <w:rsid w:val="00297A6B"/>
    <w:rsid w:val="002A03D6"/>
    <w:rsid w:val="002A0CD1"/>
    <w:rsid w:val="002A18F7"/>
    <w:rsid w:val="002A3D9F"/>
    <w:rsid w:val="002A4194"/>
    <w:rsid w:val="002A52F6"/>
    <w:rsid w:val="002A5450"/>
    <w:rsid w:val="002A54E7"/>
    <w:rsid w:val="002A5B05"/>
    <w:rsid w:val="002B05FC"/>
    <w:rsid w:val="002B07ED"/>
    <w:rsid w:val="002B11F2"/>
    <w:rsid w:val="002B1931"/>
    <w:rsid w:val="002B1BA2"/>
    <w:rsid w:val="002B1CD0"/>
    <w:rsid w:val="002B1F2A"/>
    <w:rsid w:val="002B2DA8"/>
    <w:rsid w:val="002B2F80"/>
    <w:rsid w:val="002B3EF5"/>
    <w:rsid w:val="002B438A"/>
    <w:rsid w:val="002B5174"/>
    <w:rsid w:val="002B5BE7"/>
    <w:rsid w:val="002C0CE1"/>
    <w:rsid w:val="002C55CD"/>
    <w:rsid w:val="002C55E4"/>
    <w:rsid w:val="002C5D00"/>
    <w:rsid w:val="002C6A3B"/>
    <w:rsid w:val="002C6C61"/>
    <w:rsid w:val="002C6EBF"/>
    <w:rsid w:val="002D0446"/>
    <w:rsid w:val="002D0AF1"/>
    <w:rsid w:val="002D1B0C"/>
    <w:rsid w:val="002D2A72"/>
    <w:rsid w:val="002D30FE"/>
    <w:rsid w:val="002D33D9"/>
    <w:rsid w:val="002D3ABB"/>
    <w:rsid w:val="002D408E"/>
    <w:rsid w:val="002D5620"/>
    <w:rsid w:val="002D61E6"/>
    <w:rsid w:val="002D65EB"/>
    <w:rsid w:val="002D676D"/>
    <w:rsid w:val="002D6F09"/>
    <w:rsid w:val="002E093B"/>
    <w:rsid w:val="002E0C4B"/>
    <w:rsid w:val="002E1AC5"/>
    <w:rsid w:val="002E23DC"/>
    <w:rsid w:val="002E24B4"/>
    <w:rsid w:val="002E25D2"/>
    <w:rsid w:val="002E2A60"/>
    <w:rsid w:val="002E2EAC"/>
    <w:rsid w:val="002E48C9"/>
    <w:rsid w:val="002E5072"/>
    <w:rsid w:val="002E52A6"/>
    <w:rsid w:val="002E585B"/>
    <w:rsid w:val="002E6B2B"/>
    <w:rsid w:val="002E7771"/>
    <w:rsid w:val="002E78F1"/>
    <w:rsid w:val="002F1404"/>
    <w:rsid w:val="002F1B64"/>
    <w:rsid w:val="002F1E26"/>
    <w:rsid w:val="002F2373"/>
    <w:rsid w:val="002F2A03"/>
    <w:rsid w:val="002F2D91"/>
    <w:rsid w:val="002F3999"/>
    <w:rsid w:val="002F3F58"/>
    <w:rsid w:val="002F416E"/>
    <w:rsid w:val="002F5CFF"/>
    <w:rsid w:val="002F6268"/>
    <w:rsid w:val="002F6687"/>
    <w:rsid w:val="002F6F3C"/>
    <w:rsid w:val="002F7375"/>
    <w:rsid w:val="002F7F35"/>
    <w:rsid w:val="0030038F"/>
    <w:rsid w:val="003003E7"/>
    <w:rsid w:val="00302A84"/>
    <w:rsid w:val="0030302E"/>
    <w:rsid w:val="00303B4A"/>
    <w:rsid w:val="003043A0"/>
    <w:rsid w:val="00304B43"/>
    <w:rsid w:val="003051B5"/>
    <w:rsid w:val="003058AD"/>
    <w:rsid w:val="00305C09"/>
    <w:rsid w:val="00306DEB"/>
    <w:rsid w:val="00307F8E"/>
    <w:rsid w:val="00310F5E"/>
    <w:rsid w:val="00311743"/>
    <w:rsid w:val="00312697"/>
    <w:rsid w:val="00312B42"/>
    <w:rsid w:val="00312CD6"/>
    <w:rsid w:val="00313454"/>
    <w:rsid w:val="003140D1"/>
    <w:rsid w:val="003152F8"/>
    <w:rsid w:val="00315785"/>
    <w:rsid w:val="00315B96"/>
    <w:rsid w:val="00316AFC"/>
    <w:rsid w:val="00317438"/>
    <w:rsid w:val="003177F5"/>
    <w:rsid w:val="00322F89"/>
    <w:rsid w:val="0032388A"/>
    <w:rsid w:val="00323D99"/>
    <w:rsid w:val="0032408A"/>
    <w:rsid w:val="003244E8"/>
    <w:rsid w:val="0032651E"/>
    <w:rsid w:val="0033031C"/>
    <w:rsid w:val="00332736"/>
    <w:rsid w:val="00333EC9"/>
    <w:rsid w:val="0033400C"/>
    <w:rsid w:val="00334732"/>
    <w:rsid w:val="00334AE3"/>
    <w:rsid w:val="0033516D"/>
    <w:rsid w:val="003362A0"/>
    <w:rsid w:val="00340B90"/>
    <w:rsid w:val="00341BBD"/>
    <w:rsid w:val="003426F8"/>
    <w:rsid w:val="00342AFD"/>
    <w:rsid w:val="00342D28"/>
    <w:rsid w:val="003435B5"/>
    <w:rsid w:val="00344166"/>
    <w:rsid w:val="00344DEF"/>
    <w:rsid w:val="00345488"/>
    <w:rsid w:val="00345C95"/>
    <w:rsid w:val="00347598"/>
    <w:rsid w:val="0034768C"/>
    <w:rsid w:val="00347918"/>
    <w:rsid w:val="00347ADF"/>
    <w:rsid w:val="00347BB6"/>
    <w:rsid w:val="00347F5D"/>
    <w:rsid w:val="00352564"/>
    <w:rsid w:val="003530E6"/>
    <w:rsid w:val="00354405"/>
    <w:rsid w:val="003554CE"/>
    <w:rsid w:val="0035565E"/>
    <w:rsid w:val="00355AFB"/>
    <w:rsid w:val="00355BA1"/>
    <w:rsid w:val="003561CF"/>
    <w:rsid w:val="0035705F"/>
    <w:rsid w:val="00357128"/>
    <w:rsid w:val="003577DF"/>
    <w:rsid w:val="00360BC4"/>
    <w:rsid w:val="00360CE6"/>
    <w:rsid w:val="00361FF5"/>
    <w:rsid w:val="003637FF"/>
    <w:rsid w:val="00363BA1"/>
    <w:rsid w:val="00363D7D"/>
    <w:rsid w:val="00363FF3"/>
    <w:rsid w:val="00364AF6"/>
    <w:rsid w:val="00364C95"/>
    <w:rsid w:val="003652CB"/>
    <w:rsid w:val="003664E0"/>
    <w:rsid w:val="00366FBA"/>
    <w:rsid w:val="00370651"/>
    <w:rsid w:val="003709D0"/>
    <w:rsid w:val="00370AFF"/>
    <w:rsid w:val="00370F3C"/>
    <w:rsid w:val="00372369"/>
    <w:rsid w:val="003729E6"/>
    <w:rsid w:val="00372C17"/>
    <w:rsid w:val="003730E0"/>
    <w:rsid w:val="003740CF"/>
    <w:rsid w:val="0037566F"/>
    <w:rsid w:val="00377466"/>
    <w:rsid w:val="003776B0"/>
    <w:rsid w:val="00377766"/>
    <w:rsid w:val="00381D53"/>
    <w:rsid w:val="00382754"/>
    <w:rsid w:val="00382BDF"/>
    <w:rsid w:val="00382F07"/>
    <w:rsid w:val="003830B5"/>
    <w:rsid w:val="0038332D"/>
    <w:rsid w:val="00383ACC"/>
    <w:rsid w:val="00383ADC"/>
    <w:rsid w:val="00383D91"/>
    <w:rsid w:val="00384B8D"/>
    <w:rsid w:val="00384E4B"/>
    <w:rsid w:val="00384F7A"/>
    <w:rsid w:val="003860AE"/>
    <w:rsid w:val="003876A0"/>
    <w:rsid w:val="00387914"/>
    <w:rsid w:val="00387DC4"/>
    <w:rsid w:val="00390524"/>
    <w:rsid w:val="00390B46"/>
    <w:rsid w:val="003926DF"/>
    <w:rsid w:val="00392D88"/>
    <w:rsid w:val="00392FFA"/>
    <w:rsid w:val="0039359A"/>
    <w:rsid w:val="00393A34"/>
    <w:rsid w:val="00393D04"/>
    <w:rsid w:val="00393EE4"/>
    <w:rsid w:val="003945ED"/>
    <w:rsid w:val="0039493A"/>
    <w:rsid w:val="00396531"/>
    <w:rsid w:val="00396CB5"/>
    <w:rsid w:val="00397335"/>
    <w:rsid w:val="0039745F"/>
    <w:rsid w:val="003A394D"/>
    <w:rsid w:val="003A436F"/>
    <w:rsid w:val="003A5C83"/>
    <w:rsid w:val="003A74A8"/>
    <w:rsid w:val="003B0BE3"/>
    <w:rsid w:val="003B124D"/>
    <w:rsid w:val="003B1397"/>
    <w:rsid w:val="003B398C"/>
    <w:rsid w:val="003B3AE7"/>
    <w:rsid w:val="003B4258"/>
    <w:rsid w:val="003B540D"/>
    <w:rsid w:val="003B5D40"/>
    <w:rsid w:val="003B6A26"/>
    <w:rsid w:val="003B77F0"/>
    <w:rsid w:val="003C0408"/>
    <w:rsid w:val="003C0C31"/>
    <w:rsid w:val="003C2604"/>
    <w:rsid w:val="003C3D06"/>
    <w:rsid w:val="003C4A33"/>
    <w:rsid w:val="003C658E"/>
    <w:rsid w:val="003C68EA"/>
    <w:rsid w:val="003C6927"/>
    <w:rsid w:val="003C6FFB"/>
    <w:rsid w:val="003C7356"/>
    <w:rsid w:val="003D1472"/>
    <w:rsid w:val="003D1729"/>
    <w:rsid w:val="003D234F"/>
    <w:rsid w:val="003D31AE"/>
    <w:rsid w:val="003D359A"/>
    <w:rsid w:val="003D3775"/>
    <w:rsid w:val="003D44A1"/>
    <w:rsid w:val="003D47DB"/>
    <w:rsid w:val="003D4CEF"/>
    <w:rsid w:val="003D5D70"/>
    <w:rsid w:val="003D6417"/>
    <w:rsid w:val="003D6FE6"/>
    <w:rsid w:val="003D7383"/>
    <w:rsid w:val="003E092A"/>
    <w:rsid w:val="003E09B1"/>
    <w:rsid w:val="003E148B"/>
    <w:rsid w:val="003E26D9"/>
    <w:rsid w:val="003E282B"/>
    <w:rsid w:val="003E2A0D"/>
    <w:rsid w:val="003E3CFC"/>
    <w:rsid w:val="003E4211"/>
    <w:rsid w:val="003E45C1"/>
    <w:rsid w:val="003E4734"/>
    <w:rsid w:val="003E75C1"/>
    <w:rsid w:val="003E7804"/>
    <w:rsid w:val="003F0B01"/>
    <w:rsid w:val="003F14BD"/>
    <w:rsid w:val="003F1FB7"/>
    <w:rsid w:val="003F2AE1"/>
    <w:rsid w:val="003F2C40"/>
    <w:rsid w:val="003F4273"/>
    <w:rsid w:val="003F46C5"/>
    <w:rsid w:val="003F4C8E"/>
    <w:rsid w:val="003F58F8"/>
    <w:rsid w:val="003F662A"/>
    <w:rsid w:val="003F6C58"/>
    <w:rsid w:val="003F7182"/>
    <w:rsid w:val="003F793D"/>
    <w:rsid w:val="003F7DC9"/>
    <w:rsid w:val="003F7E9D"/>
    <w:rsid w:val="00401798"/>
    <w:rsid w:val="00402E04"/>
    <w:rsid w:val="00403D4B"/>
    <w:rsid w:val="00404B40"/>
    <w:rsid w:val="00404D65"/>
    <w:rsid w:val="0040502A"/>
    <w:rsid w:val="00405208"/>
    <w:rsid w:val="00407A20"/>
    <w:rsid w:val="00407E10"/>
    <w:rsid w:val="00410A41"/>
    <w:rsid w:val="00411C12"/>
    <w:rsid w:val="00411D49"/>
    <w:rsid w:val="0041263A"/>
    <w:rsid w:val="00412A74"/>
    <w:rsid w:val="004137CA"/>
    <w:rsid w:val="00414C4B"/>
    <w:rsid w:val="00415639"/>
    <w:rsid w:val="004157FA"/>
    <w:rsid w:val="00416583"/>
    <w:rsid w:val="00416D9A"/>
    <w:rsid w:val="00421008"/>
    <w:rsid w:val="00421084"/>
    <w:rsid w:val="00421285"/>
    <w:rsid w:val="00421385"/>
    <w:rsid w:val="004218E3"/>
    <w:rsid w:val="00422855"/>
    <w:rsid w:val="00423069"/>
    <w:rsid w:val="004243F7"/>
    <w:rsid w:val="00425117"/>
    <w:rsid w:val="0042571A"/>
    <w:rsid w:val="00427169"/>
    <w:rsid w:val="00427A9C"/>
    <w:rsid w:val="004314DC"/>
    <w:rsid w:val="004321FB"/>
    <w:rsid w:val="0043307F"/>
    <w:rsid w:val="00433602"/>
    <w:rsid w:val="00433E5D"/>
    <w:rsid w:val="00434053"/>
    <w:rsid w:val="00434E36"/>
    <w:rsid w:val="004358C9"/>
    <w:rsid w:val="00435F48"/>
    <w:rsid w:val="00436A19"/>
    <w:rsid w:val="00437179"/>
    <w:rsid w:val="0043763D"/>
    <w:rsid w:val="004377AB"/>
    <w:rsid w:val="004379A5"/>
    <w:rsid w:val="00442266"/>
    <w:rsid w:val="0044251B"/>
    <w:rsid w:val="00443D8D"/>
    <w:rsid w:val="00444877"/>
    <w:rsid w:val="00445133"/>
    <w:rsid w:val="004455DB"/>
    <w:rsid w:val="004467EF"/>
    <w:rsid w:val="00447D26"/>
    <w:rsid w:val="004509B4"/>
    <w:rsid w:val="00451502"/>
    <w:rsid w:val="00451C32"/>
    <w:rsid w:val="00451C7F"/>
    <w:rsid w:val="00454529"/>
    <w:rsid w:val="00454D76"/>
    <w:rsid w:val="00455DBD"/>
    <w:rsid w:val="0045658A"/>
    <w:rsid w:val="0045766F"/>
    <w:rsid w:val="00457C2B"/>
    <w:rsid w:val="004602B7"/>
    <w:rsid w:val="0046058B"/>
    <w:rsid w:val="0046130C"/>
    <w:rsid w:val="00461368"/>
    <w:rsid w:val="004620B2"/>
    <w:rsid w:val="004635D0"/>
    <w:rsid w:val="00464C1A"/>
    <w:rsid w:val="00470AC7"/>
    <w:rsid w:val="00471ADD"/>
    <w:rsid w:val="00474DF1"/>
    <w:rsid w:val="0047710F"/>
    <w:rsid w:val="004805AB"/>
    <w:rsid w:val="00480BC9"/>
    <w:rsid w:val="00480C4E"/>
    <w:rsid w:val="00480E17"/>
    <w:rsid w:val="0048114C"/>
    <w:rsid w:val="00482122"/>
    <w:rsid w:val="00482365"/>
    <w:rsid w:val="004827BE"/>
    <w:rsid w:val="004836CB"/>
    <w:rsid w:val="00483913"/>
    <w:rsid w:val="00483AA4"/>
    <w:rsid w:val="00483CCF"/>
    <w:rsid w:val="004847A4"/>
    <w:rsid w:val="004848C7"/>
    <w:rsid w:val="004855F5"/>
    <w:rsid w:val="00485CAB"/>
    <w:rsid w:val="00486251"/>
    <w:rsid w:val="00487FFD"/>
    <w:rsid w:val="00490B02"/>
    <w:rsid w:val="00490D82"/>
    <w:rsid w:val="00491077"/>
    <w:rsid w:val="0049303C"/>
    <w:rsid w:val="00493E31"/>
    <w:rsid w:val="00494688"/>
    <w:rsid w:val="00494EC5"/>
    <w:rsid w:val="004958A7"/>
    <w:rsid w:val="00496E39"/>
    <w:rsid w:val="004A086E"/>
    <w:rsid w:val="004A1B18"/>
    <w:rsid w:val="004A21E1"/>
    <w:rsid w:val="004A2923"/>
    <w:rsid w:val="004A3CAD"/>
    <w:rsid w:val="004A46B1"/>
    <w:rsid w:val="004A5C0A"/>
    <w:rsid w:val="004A6ED2"/>
    <w:rsid w:val="004B071B"/>
    <w:rsid w:val="004B09A8"/>
    <w:rsid w:val="004B0F4F"/>
    <w:rsid w:val="004B3095"/>
    <w:rsid w:val="004B310C"/>
    <w:rsid w:val="004B354B"/>
    <w:rsid w:val="004B3D8C"/>
    <w:rsid w:val="004B47C2"/>
    <w:rsid w:val="004B517E"/>
    <w:rsid w:val="004B6999"/>
    <w:rsid w:val="004B6C1F"/>
    <w:rsid w:val="004B6C92"/>
    <w:rsid w:val="004B6DA8"/>
    <w:rsid w:val="004B7CE9"/>
    <w:rsid w:val="004B7D4C"/>
    <w:rsid w:val="004C08CD"/>
    <w:rsid w:val="004C1C8D"/>
    <w:rsid w:val="004C2006"/>
    <w:rsid w:val="004C2055"/>
    <w:rsid w:val="004C401C"/>
    <w:rsid w:val="004C4059"/>
    <w:rsid w:val="004C44B8"/>
    <w:rsid w:val="004C48C7"/>
    <w:rsid w:val="004C4BD2"/>
    <w:rsid w:val="004C52AA"/>
    <w:rsid w:val="004C5ECF"/>
    <w:rsid w:val="004C670F"/>
    <w:rsid w:val="004C675E"/>
    <w:rsid w:val="004C731A"/>
    <w:rsid w:val="004C7BE0"/>
    <w:rsid w:val="004D056C"/>
    <w:rsid w:val="004D2EAF"/>
    <w:rsid w:val="004D3932"/>
    <w:rsid w:val="004D39CA"/>
    <w:rsid w:val="004D46E3"/>
    <w:rsid w:val="004D493E"/>
    <w:rsid w:val="004D66A2"/>
    <w:rsid w:val="004D67CA"/>
    <w:rsid w:val="004D6AE9"/>
    <w:rsid w:val="004D7355"/>
    <w:rsid w:val="004E0270"/>
    <w:rsid w:val="004E088E"/>
    <w:rsid w:val="004E1915"/>
    <w:rsid w:val="004E2D10"/>
    <w:rsid w:val="004E47F0"/>
    <w:rsid w:val="004E485C"/>
    <w:rsid w:val="004E486A"/>
    <w:rsid w:val="004E4B85"/>
    <w:rsid w:val="004E4BA7"/>
    <w:rsid w:val="004E5ADC"/>
    <w:rsid w:val="004E6360"/>
    <w:rsid w:val="004E6B4A"/>
    <w:rsid w:val="004F16BB"/>
    <w:rsid w:val="004F3BA8"/>
    <w:rsid w:val="004F3F66"/>
    <w:rsid w:val="004F4862"/>
    <w:rsid w:val="004F556E"/>
    <w:rsid w:val="004F7A76"/>
    <w:rsid w:val="004F7C14"/>
    <w:rsid w:val="005003A3"/>
    <w:rsid w:val="00500467"/>
    <w:rsid w:val="005009B8"/>
    <w:rsid w:val="0050193F"/>
    <w:rsid w:val="00502DA9"/>
    <w:rsid w:val="005038E4"/>
    <w:rsid w:val="005045C9"/>
    <w:rsid w:val="00505B79"/>
    <w:rsid w:val="00505D67"/>
    <w:rsid w:val="005072AF"/>
    <w:rsid w:val="0051093A"/>
    <w:rsid w:val="00510C9F"/>
    <w:rsid w:val="0051125D"/>
    <w:rsid w:val="0051157C"/>
    <w:rsid w:val="00511ECF"/>
    <w:rsid w:val="00512616"/>
    <w:rsid w:val="00512A70"/>
    <w:rsid w:val="00512A93"/>
    <w:rsid w:val="00512C18"/>
    <w:rsid w:val="00512CDC"/>
    <w:rsid w:val="00512F51"/>
    <w:rsid w:val="00514D41"/>
    <w:rsid w:val="00515B19"/>
    <w:rsid w:val="00515B77"/>
    <w:rsid w:val="0051703E"/>
    <w:rsid w:val="005178A0"/>
    <w:rsid w:val="00517F41"/>
    <w:rsid w:val="00521334"/>
    <w:rsid w:val="00521374"/>
    <w:rsid w:val="005223C8"/>
    <w:rsid w:val="00522529"/>
    <w:rsid w:val="005228DB"/>
    <w:rsid w:val="00522B27"/>
    <w:rsid w:val="00522D40"/>
    <w:rsid w:val="00525955"/>
    <w:rsid w:val="005262DE"/>
    <w:rsid w:val="005263EB"/>
    <w:rsid w:val="005264D8"/>
    <w:rsid w:val="00526EB2"/>
    <w:rsid w:val="00527B67"/>
    <w:rsid w:val="005301BA"/>
    <w:rsid w:val="00531250"/>
    <w:rsid w:val="005325FF"/>
    <w:rsid w:val="0053289C"/>
    <w:rsid w:val="00534683"/>
    <w:rsid w:val="00534C41"/>
    <w:rsid w:val="00534F8C"/>
    <w:rsid w:val="005351CC"/>
    <w:rsid w:val="00535C6B"/>
    <w:rsid w:val="0054038E"/>
    <w:rsid w:val="00540B35"/>
    <w:rsid w:val="00542A61"/>
    <w:rsid w:val="00543201"/>
    <w:rsid w:val="00545AB2"/>
    <w:rsid w:val="00546743"/>
    <w:rsid w:val="005479AF"/>
    <w:rsid w:val="005506B5"/>
    <w:rsid w:val="00551B01"/>
    <w:rsid w:val="00552056"/>
    <w:rsid w:val="005524AC"/>
    <w:rsid w:val="00555078"/>
    <w:rsid w:val="005555C6"/>
    <w:rsid w:val="005556A5"/>
    <w:rsid w:val="00555966"/>
    <w:rsid w:val="00556235"/>
    <w:rsid w:val="005562B9"/>
    <w:rsid w:val="00557086"/>
    <w:rsid w:val="005575E5"/>
    <w:rsid w:val="005603BC"/>
    <w:rsid w:val="00561DF3"/>
    <w:rsid w:val="0056213D"/>
    <w:rsid w:val="005621E0"/>
    <w:rsid w:val="0056246C"/>
    <w:rsid w:val="005629A3"/>
    <w:rsid w:val="0056388E"/>
    <w:rsid w:val="005645CF"/>
    <w:rsid w:val="00564651"/>
    <w:rsid w:val="0056468F"/>
    <w:rsid w:val="00564D9E"/>
    <w:rsid w:val="00565212"/>
    <w:rsid w:val="00565C15"/>
    <w:rsid w:val="00565FE7"/>
    <w:rsid w:val="0056699C"/>
    <w:rsid w:val="005675B2"/>
    <w:rsid w:val="00567D6D"/>
    <w:rsid w:val="005700B9"/>
    <w:rsid w:val="0057014C"/>
    <w:rsid w:val="0057034F"/>
    <w:rsid w:val="00570906"/>
    <w:rsid w:val="00571410"/>
    <w:rsid w:val="00571497"/>
    <w:rsid w:val="00572189"/>
    <w:rsid w:val="00572D08"/>
    <w:rsid w:val="00573975"/>
    <w:rsid w:val="00573AD9"/>
    <w:rsid w:val="005754E4"/>
    <w:rsid w:val="00576218"/>
    <w:rsid w:val="005763EE"/>
    <w:rsid w:val="00576485"/>
    <w:rsid w:val="005770D2"/>
    <w:rsid w:val="005771DE"/>
    <w:rsid w:val="00577F4D"/>
    <w:rsid w:val="005800E2"/>
    <w:rsid w:val="0058114A"/>
    <w:rsid w:val="00581E42"/>
    <w:rsid w:val="00581F7B"/>
    <w:rsid w:val="0058312A"/>
    <w:rsid w:val="0058313E"/>
    <w:rsid w:val="005832B4"/>
    <w:rsid w:val="00584548"/>
    <w:rsid w:val="00585A88"/>
    <w:rsid w:val="00585DE5"/>
    <w:rsid w:val="00586E2E"/>
    <w:rsid w:val="0058732D"/>
    <w:rsid w:val="005878A2"/>
    <w:rsid w:val="005902A3"/>
    <w:rsid w:val="00590FA0"/>
    <w:rsid w:val="00591556"/>
    <w:rsid w:val="00592B39"/>
    <w:rsid w:val="00593DC3"/>
    <w:rsid w:val="00593ED5"/>
    <w:rsid w:val="00594E56"/>
    <w:rsid w:val="00595722"/>
    <w:rsid w:val="00595C40"/>
    <w:rsid w:val="00596796"/>
    <w:rsid w:val="0059751B"/>
    <w:rsid w:val="00597B54"/>
    <w:rsid w:val="005A0710"/>
    <w:rsid w:val="005A0734"/>
    <w:rsid w:val="005A0A19"/>
    <w:rsid w:val="005A18A1"/>
    <w:rsid w:val="005A2FC6"/>
    <w:rsid w:val="005A48EA"/>
    <w:rsid w:val="005A5350"/>
    <w:rsid w:val="005A5505"/>
    <w:rsid w:val="005A5656"/>
    <w:rsid w:val="005A58F2"/>
    <w:rsid w:val="005A731E"/>
    <w:rsid w:val="005A799E"/>
    <w:rsid w:val="005B020E"/>
    <w:rsid w:val="005B0BC4"/>
    <w:rsid w:val="005B0CE6"/>
    <w:rsid w:val="005B1193"/>
    <w:rsid w:val="005B1265"/>
    <w:rsid w:val="005B19B5"/>
    <w:rsid w:val="005B24F4"/>
    <w:rsid w:val="005B26F7"/>
    <w:rsid w:val="005B27C6"/>
    <w:rsid w:val="005B40AD"/>
    <w:rsid w:val="005B4469"/>
    <w:rsid w:val="005B4A6B"/>
    <w:rsid w:val="005B526B"/>
    <w:rsid w:val="005B5F57"/>
    <w:rsid w:val="005B64B1"/>
    <w:rsid w:val="005B68CA"/>
    <w:rsid w:val="005B6AE9"/>
    <w:rsid w:val="005B6F15"/>
    <w:rsid w:val="005B7214"/>
    <w:rsid w:val="005C1D9B"/>
    <w:rsid w:val="005C2092"/>
    <w:rsid w:val="005C34E6"/>
    <w:rsid w:val="005C40C2"/>
    <w:rsid w:val="005C4C3D"/>
    <w:rsid w:val="005C4FB9"/>
    <w:rsid w:val="005C79E0"/>
    <w:rsid w:val="005D00CA"/>
    <w:rsid w:val="005D0E04"/>
    <w:rsid w:val="005D1319"/>
    <w:rsid w:val="005D195C"/>
    <w:rsid w:val="005D3AEF"/>
    <w:rsid w:val="005D45F2"/>
    <w:rsid w:val="005D4FE6"/>
    <w:rsid w:val="005D5049"/>
    <w:rsid w:val="005D6569"/>
    <w:rsid w:val="005D7B5B"/>
    <w:rsid w:val="005E02A3"/>
    <w:rsid w:val="005E0D12"/>
    <w:rsid w:val="005E0D54"/>
    <w:rsid w:val="005E1265"/>
    <w:rsid w:val="005E13C9"/>
    <w:rsid w:val="005E3A52"/>
    <w:rsid w:val="005E3D83"/>
    <w:rsid w:val="005E40F0"/>
    <w:rsid w:val="005E47A2"/>
    <w:rsid w:val="005E4EC5"/>
    <w:rsid w:val="005E614B"/>
    <w:rsid w:val="005E631D"/>
    <w:rsid w:val="005E6B2C"/>
    <w:rsid w:val="005E6DA9"/>
    <w:rsid w:val="005E6F23"/>
    <w:rsid w:val="005E7130"/>
    <w:rsid w:val="005E76CA"/>
    <w:rsid w:val="005E77B5"/>
    <w:rsid w:val="005F00F0"/>
    <w:rsid w:val="005F1595"/>
    <w:rsid w:val="005F2540"/>
    <w:rsid w:val="005F35B3"/>
    <w:rsid w:val="005F37B4"/>
    <w:rsid w:val="005F3AE6"/>
    <w:rsid w:val="005F449A"/>
    <w:rsid w:val="005F6552"/>
    <w:rsid w:val="005F74D3"/>
    <w:rsid w:val="005F7C88"/>
    <w:rsid w:val="006000A2"/>
    <w:rsid w:val="00600E8B"/>
    <w:rsid w:val="00600F18"/>
    <w:rsid w:val="00602107"/>
    <w:rsid w:val="00602F24"/>
    <w:rsid w:val="0060349B"/>
    <w:rsid w:val="00604900"/>
    <w:rsid w:val="00604C78"/>
    <w:rsid w:val="00606221"/>
    <w:rsid w:val="00606B33"/>
    <w:rsid w:val="00606BC6"/>
    <w:rsid w:val="0060712D"/>
    <w:rsid w:val="0060744A"/>
    <w:rsid w:val="00610807"/>
    <w:rsid w:val="00610A98"/>
    <w:rsid w:val="0061156B"/>
    <w:rsid w:val="00611720"/>
    <w:rsid w:val="006138B5"/>
    <w:rsid w:val="00614653"/>
    <w:rsid w:val="00615780"/>
    <w:rsid w:val="00615B63"/>
    <w:rsid w:val="00616BAB"/>
    <w:rsid w:val="00616C34"/>
    <w:rsid w:val="00617D41"/>
    <w:rsid w:val="006203F8"/>
    <w:rsid w:val="006215FB"/>
    <w:rsid w:val="00621ADE"/>
    <w:rsid w:val="006226E4"/>
    <w:rsid w:val="006229DB"/>
    <w:rsid w:val="006229ED"/>
    <w:rsid w:val="00622D6A"/>
    <w:rsid w:val="00624A25"/>
    <w:rsid w:val="00625882"/>
    <w:rsid w:val="00627C08"/>
    <w:rsid w:val="00630B19"/>
    <w:rsid w:val="00630CFA"/>
    <w:rsid w:val="00630E04"/>
    <w:rsid w:val="00631410"/>
    <w:rsid w:val="00631797"/>
    <w:rsid w:val="00631D4E"/>
    <w:rsid w:val="00631F3F"/>
    <w:rsid w:val="006322B8"/>
    <w:rsid w:val="006326E2"/>
    <w:rsid w:val="00632EDC"/>
    <w:rsid w:val="00633E34"/>
    <w:rsid w:val="0063502D"/>
    <w:rsid w:val="0063574F"/>
    <w:rsid w:val="006360D4"/>
    <w:rsid w:val="0063645B"/>
    <w:rsid w:val="00636482"/>
    <w:rsid w:val="006365A2"/>
    <w:rsid w:val="00636698"/>
    <w:rsid w:val="00640750"/>
    <w:rsid w:val="00642558"/>
    <w:rsid w:val="006429DF"/>
    <w:rsid w:val="00645023"/>
    <w:rsid w:val="0064626F"/>
    <w:rsid w:val="00647A35"/>
    <w:rsid w:val="00650EBC"/>
    <w:rsid w:val="006511DB"/>
    <w:rsid w:val="0065235D"/>
    <w:rsid w:val="006536E5"/>
    <w:rsid w:val="00653FB4"/>
    <w:rsid w:val="00654916"/>
    <w:rsid w:val="00654C55"/>
    <w:rsid w:val="00656D02"/>
    <w:rsid w:val="00657624"/>
    <w:rsid w:val="00661798"/>
    <w:rsid w:val="006619CD"/>
    <w:rsid w:val="00661D34"/>
    <w:rsid w:val="0066216B"/>
    <w:rsid w:val="0066256D"/>
    <w:rsid w:val="00663012"/>
    <w:rsid w:val="006630F3"/>
    <w:rsid w:val="006643CA"/>
    <w:rsid w:val="00666731"/>
    <w:rsid w:val="006669C5"/>
    <w:rsid w:val="00667FE9"/>
    <w:rsid w:val="00670305"/>
    <w:rsid w:val="00670D39"/>
    <w:rsid w:val="0067115C"/>
    <w:rsid w:val="00671524"/>
    <w:rsid w:val="006718A6"/>
    <w:rsid w:val="00672810"/>
    <w:rsid w:val="00672E96"/>
    <w:rsid w:val="00673F79"/>
    <w:rsid w:val="0067446B"/>
    <w:rsid w:val="00674CDE"/>
    <w:rsid w:val="006752DA"/>
    <w:rsid w:val="00675494"/>
    <w:rsid w:val="006758DE"/>
    <w:rsid w:val="006765A6"/>
    <w:rsid w:val="00677724"/>
    <w:rsid w:val="0068238C"/>
    <w:rsid w:val="00683AC2"/>
    <w:rsid w:val="00683B79"/>
    <w:rsid w:val="00684993"/>
    <w:rsid w:val="00684B6B"/>
    <w:rsid w:val="00690C21"/>
    <w:rsid w:val="00690EA8"/>
    <w:rsid w:val="006911AA"/>
    <w:rsid w:val="006913F7"/>
    <w:rsid w:val="00691B5C"/>
    <w:rsid w:val="006920AB"/>
    <w:rsid w:val="006920FD"/>
    <w:rsid w:val="0069375D"/>
    <w:rsid w:val="006959A0"/>
    <w:rsid w:val="00695BF5"/>
    <w:rsid w:val="006A2811"/>
    <w:rsid w:val="006A2BEE"/>
    <w:rsid w:val="006A3B7F"/>
    <w:rsid w:val="006A41F0"/>
    <w:rsid w:val="006A4307"/>
    <w:rsid w:val="006A4458"/>
    <w:rsid w:val="006A4F57"/>
    <w:rsid w:val="006A5733"/>
    <w:rsid w:val="006A6394"/>
    <w:rsid w:val="006A7EF6"/>
    <w:rsid w:val="006B00F0"/>
    <w:rsid w:val="006B2471"/>
    <w:rsid w:val="006B24EE"/>
    <w:rsid w:val="006B27C6"/>
    <w:rsid w:val="006B3732"/>
    <w:rsid w:val="006B3A20"/>
    <w:rsid w:val="006B4FA5"/>
    <w:rsid w:val="006B5FEB"/>
    <w:rsid w:val="006B60E0"/>
    <w:rsid w:val="006B6BF1"/>
    <w:rsid w:val="006B7124"/>
    <w:rsid w:val="006C1A68"/>
    <w:rsid w:val="006C1CD9"/>
    <w:rsid w:val="006C4250"/>
    <w:rsid w:val="006C47EB"/>
    <w:rsid w:val="006C4E51"/>
    <w:rsid w:val="006C5B74"/>
    <w:rsid w:val="006C5C77"/>
    <w:rsid w:val="006C5D2C"/>
    <w:rsid w:val="006D0049"/>
    <w:rsid w:val="006D029B"/>
    <w:rsid w:val="006D1040"/>
    <w:rsid w:val="006D1640"/>
    <w:rsid w:val="006D1913"/>
    <w:rsid w:val="006D1ACE"/>
    <w:rsid w:val="006D1DBC"/>
    <w:rsid w:val="006D2A4D"/>
    <w:rsid w:val="006D41EA"/>
    <w:rsid w:val="006D44E7"/>
    <w:rsid w:val="006D46AC"/>
    <w:rsid w:val="006D5FCC"/>
    <w:rsid w:val="006D631D"/>
    <w:rsid w:val="006D6B7F"/>
    <w:rsid w:val="006E1A35"/>
    <w:rsid w:val="006E2D77"/>
    <w:rsid w:val="006E2FF7"/>
    <w:rsid w:val="006E410C"/>
    <w:rsid w:val="006E420E"/>
    <w:rsid w:val="006E43F2"/>
    <w:rsid w:val="006E47F6"/>
    <w:rsid w:val="006E4ADA"/>
    <w:rsid w:val="006E52A7"/>
    <w:rsid w:val="006E52C9"/>
    <w:rsid w:val="006E5D60"/>
    <w:rsid w:val="006E621E"/>
    <w:rsid w:val="006E77C6"/>
    <w:rsid w:val="006E7955"/>
    <w:rsid w:val="006E7D16"/>
    <w:rsid w:val="006E7FE9"/>
    <w:rsid w:val="006F0185"/>
    <w:rsid w:val="006F131C"/>
    <w:rsid w:val="006F191B"/>
    <w:rsid w:val="006F2C33"/>
    <w:rsid w:val="006F2D6C"/>
    <w:rsid w:val="006F3001"/>
    <w:rsid w:val="006F32D0"/>
    <w:rsid w:val="006F3CB2"/>
    <w:rsid w:val="006F46D6"/>
    <w:rsid w:val="006F6523"/>
    <w:rsid w:val="006F7352"/>
    <w:rsid w:val="006F787F"/>
    <w:rsid w:val="006F7EE1"/>
    <w:rsid w:val="007003A9"/>
    <w:rsid w:val="007004AD"/>
    <w:rsid w:val="00702C19"/>
    <w:rsid w:val="007042D1"/>
    <w:rsid w:val="00704A95"/>
    <w:rsid w:val="00704F6D"/>
    <w:rsid w:val="0070520F"/>
    <w:rsid w:val="00706D9A"/>
    <w:rsid w:val="007076B8"/>
    <w:rsid w:val="0071023F"/>
    <w:rsid w:val="00710CF1"/>
    <w:rsid w:val="0071188A"/>
    <w:rsid w:val="007124FA"/>
    <w:rsid w:val="00712A63"/>
    <w:rsid w:val="00712DEA"/>
    <w:rsid w:val="007141DE"/>
    <w:rsid w:val="0071671C"/>
    <w:rsid w:val="0071705E"/>
    <w:rsid w:val="00717068"/>
    <w:rsid w:val="007170A1"/>
    <w:rsid w:val="00717B07"/>
    <w:rsid w:val="00720B51"/>
    <w:rsid w:val="00721010"/>
    <w:rsid w:val="0072164F"/>
    <w:rsid w:val="00722635"/>
    <w:rsid w:val="00722860"/>
    <w:rsid w:val="00723970"/>
    <w:rsid w:val="007240B6"/>
    <w:rsid w:val="007241AC"/>
    <w:rsid w:val="00725A4B"/>
    <w:rsid w:val="00725CEB"/>
    <w:rsid w:val="00725D77"/>
    <w:rsid w:val="00726DA6"/>
    <w:rsid w:val="0072765C"/>
    <w:rsid w:val="007306A2"/>
    <w:rsid w:val="007337FA"/>
    <w:rsid w:val="007342B2"/>
    <w:rsid w:val="00734E81"/>
    <w:rsid w:val="00735F3A"/>
    <w:rsid w:val="0073649C"/>
    <w:rsid w:val="00736971"/>
    <w:rsid w:val="00740520"/>
    <w:rsid w:val="00740B7B"/>
    <w:rsid w:val="00741B50"/>
    <w:rsid w:val="0074205B"/>
    <w:rsid w:val="00742A49"/>
    <w:rsid w:val="00743ACD"/>
    <w:rsid w:val="00743D0A"/>
    <w:rsid w:val="0074437F"/>
    <w:rsid w:val="0074523B"/>
    <w:rsid w:val="007456CB"/>
    <w:rsid w:val="00745DEA"/>
    <w:rsid w:val="0074638F"/>
    <w:rsid w:val="007464A2"/>
    <w:rsid w:val="00746AD9"/>
    <w:rsid w:val="00750093"/>
    <w:rsid w:val="00750B0B"/>
    <w:rsid w:val="00751819"/>
    <w:rsid w:val="00751933"/>
    <w:rsid w:val="00751B9D"/>
    <w:rsid w:val="0075283B"/>
    <w:rsid w:val="0075381B"/>
    <w:rsid w:val="00754973"/>
    <w:rsid w:val="00754F91"/>
    <w:rsid w:val="0075612A"/>
    <w:rsid w:val="00757002"/>
    <w:rsid w:val="00757627"/>
    <w:rsid w:val="0075792A"/>
    <w:rsid w:val="00757B1E"/>
    <w:rsid w:val="0076029B"/>
    <w:rsid w:val="0076084B"/>
    <w:rsid w:val="00761E31"/>
    <w:rsid w:val="007621D7"/>
    <w:rsid w:val="00762A0D"/>
    <w:rsid w:val="00764215"/>
    <w:rsid w:val="007645FF"/>
    <w:rsid w:val="00764DED"/>
    <w:rsid w:val="00766FE7"/>
    <w:rsid w:val="00770131"/>
    <w:rsid w:val="00771318"/>
    <w:rsid w:val="00771F7A"/>
    <w:rsid w:val="00771FB4"/>
    <w:rsid w:val="007724F8"/>
    <w:rsid w:val="00772C32"/>
    <w:rsid w:val="00772DD3"/>
    <w:rsid w:val="00772DFD"/>
    <w:rsid w:val="00773AEF"/>
    <w:rsid w:val="00775183"/>
    <w:rsid w:val="007756E7"/>
    <w:rsid w:val="00776CE4"/>
    <w:rsid w:val="007814E5"/>
    <w:rsid w:val="00781C98"/>
    <w:rsid w:val="00782CAC"/>
    <w:rsid w:val="00782D9F"/>
    <w:rsid w:val="0078330C"/>
    <w:rsid w:val="00783E6E"/>
    <w:rsid w:val="00784041"/>
    <w:rsid w:val="00784FD8"/>
    <w:rsid w:val="007853C8"/>
    <w:rsid w:val="007855A2"/>
    <w:rsid w:val="00785B57"/>
    <w:rsid w:val="00786B2A"/>
    <w:rsid w:val="00786EE8"/>
    <w:rsid w:val="007906A5"/>
    <w:rsid w:val="00791F4E"/>
    <w:rsid w:val="00792083"/>
    <w:rsid w:val="00792CCA"/>
    <w:rsid w:val="00793801"/>
    <w:rsid w:val="007939A7"/>
    <w:rsid w:val="0079403A"/>
    <w:rsid w:val="00794AF7"/>
    <w:rsid w:val="007956E2"/>
    <w:rsid w:val="00795B7E"/>
    <w:rsid w:val="007968AB"/>
    <w:rsid w:val="00796B36"/>
    <w:rsid w:val="00796D92"/>
    <w:rsid w:val="007A0352"/>
    <w:rsid w:val="007A182C"/>
    <w:rsid w:val="007A1BA5"/>
    <w:rsid w:val="007A29EE"/>
    <w:rsid w:val="007A4233"/>
    <w:rsid w:val="007A43A5"/>
    <w:rsid w:val="007A5931"/>
    <w:rsid w:val="007A5A98"/>
    <w:rsid w:val="007A6CAE"/>
    <w:rsid w:val="007A74E9"/>
    <w:rsid w:val="007B15F7"/>
    <w:rsid w:val="007B3694"/>
    <w:rsid w:val="007B4140"/>
    <w:rsid w:val="007B4447"/>
    <w:rsid w:val="007B4ACA"/>
    <w:rsid w:val="007C01E4"/>
    <w:rsid w:val="007C13A6"/>
    <w:rsid w:val="007C19CF"/>
    <w:rsid w:val="007C3541"/>
    <w:rsid w:val="007C3B72"/>
    <w:rsid w:val="007C4885"/>
    <w:rsid w:val="007C4A6A"/>
    <w:rsid w:val="007C4FFD"/>
    <w:rsid w:val="007D059E"/>
    <w:rsid w:val="007D1459"/>
    <w:rsid w:val="007D1F03"/>
    <w:rsid w:val="007D4227"/>
    <w:rsid w:val="007D434D"/>
    <w:rsid w:val="007D4433"/>
    <w:rsid w:val="007D5AB5"/>
    <w:rsid w:val="007D720B"/>
    <w:rsid w:val="007D7E6C"/>
    <w:rsid w:val="007D7E7F"/>
    <w:rsid w:val="007E2B2D"/>
    <w:rsid w:val="007E2BAF"/>
    <w:rsid w:val="007E2CA5"/>
    <w:rsid w:val="007E3071"/>
    <w:rsid w:val="007E3484"/>
    <w:rsid w:val="007E5310"/>
    <w:rsid w:val="007E5978"/>
    <w:rsid w:val="007E60AF"/>
    <w:rsid w:val="007E6912"/>
    <w:rsid w:val="007E6ACE"/>
    <w:rsid w:val="007E7B2D"/>
    <w:rsid w:val="007F011B"/>
    <w:rsid w:val="007F0D0B"/>
    <w:rsid w:val="007F229E"/>
    <w:rsid w:val="007F2508"/>
    <w:rsid w:val="007F2DFD"/>
    <w:rsid w:val="007F394B"/>
    <w:rsid w:val="007F3C14"/>
    <w:rsid w:val="007F4155"/>
    <w:rsid w:val="007F5C0B"/>
    <w:rsid w:val="007F6465"/>
    <w:rsid w:val="007F6559"/>
    <w:rsid w:val="007F7882"/>
    <w:rsid w:val="007F792B"/>
    <w:rsid w:val="007F7939"/>
    <w:rsid w:val="007F7DE8"/>
    <w:rsid w:val="00800222"/>
    <w:rsid w:val="008015F0"/>
    <w:rsid w:val="00801D01"/>
    <w:rsid w:val="008025D0"/>
    <w:rsid w:val="00802703"/>
    <w:rsid w:val="00802A0F"/>
    <w:rsid w:val="00802F0F"/>
    <w:rsid w:val="00803DB7"/>
    <w:rsid w:val="00803F6B"/>
    <w:rsid w:val="00804411"/>
    <w:rsid w:val="00804DE6"/>
    <w:rsid w:val="00804E45"/>
    <w:rsid w:val="0080549C"/>
    <w:rsid w:val="0080561C"/>
    <w:rsid w:val="0080584D"/>
    <w:rsid w:val="0080596D"/>
    <w:rsid w:val="00806697"/>
    <w:rsid w:val="00807247"/>
    <w:rsid w:val="008072AA"/>
    <w:rsid w:val="008102D3"/>
    <w:rsid w:val="0081032C"/>
    <w:rsid w:val="00810836"/>
    <w:rsid w:val="00811B42"/>
    <w:rsid w:val="00811EF3"/>
    <w:rsid w:val="00815746"/>
    <w:rsid w:val="00815DB7"/>
    <w:rsid w:val="008179EF"/>
    <w:rsid w:val="00817FD6"/>
    <w:rsid w:val="008217F0"/>
    <w:rsid w:val="0082264F"/>
    <w:rsid w:val="00823178"/>
    <w:rsid w:val="00823395"/>
    <w:rsid w:val="00823722"/>
    <w:rsid w:val="00824357"/>
    <w:rsid w:val="008251F2"/>
    <w:rsid w:val="008253DB"/>
    <w:rsid w:val="00827CA2"/>
    <w:rsid w:val="00827F73"/>
    <w:rsid w:val="00831983"/>
    <w:rsid w:val="008326E4"/>
    <w:rsid w:val="008335CB"/>
    <w:rsid w:val="0083512C"/>
    <w:rsid w:val="00835517"/>
    <w:rsid w:val="00835716"/>
    <w:rsid w:val="0083583B"/>
    <w:rsid w:val="00836200"/>
    <w:rsid w:val="00837EB9"/>
    <w:rsid w:val="00840545"/>
    <w:rsid w:val="00841074"/>
    <w:rsid w:val="0084185A"/>
    <w:rsid w:val="00844E7E"/>
    <w:rsid w:val="00846B68"/>
    <w:rsid w:val="008508E9"/>
    <w:rsid w:val="00850EDF"/>
    <w:rsid w:val="008513D5"/>
    <w:rsid w:val="00851BE1"/>
    <w:rsid w:val="00853304"/>
    <w:rsid w:val="008538A5"/>
    <w:rsid w:val="008547DD"/>
    <w:rsid w:val="00854B42"/>
    <w:rsid w:val="00855ACC"/>
    <w:rsid w:val="008577EF"/>
    <w:rsid w:val="008606BD"/>
    <w:rsid w:val="00861D88"/>
    <w:rsid w:val="00862063"/>
    <w:rsid w:val="00863B06"/>
    <w:rsid w:val="008641CE"/>
    <w:rsid w:val="008643B2"/>
    <w:rsid w:val="00864597"/>
    <w:rsid w:val="00864632"/>
    <w:rsid w:val="008647BA"/>
    <w:rsid w:val="0086552B"/>
    <w:rsid w:val="008669D0"/>
    <w:rsid w:val="00867DF5"/>
    <w:rsid w:val="00870ED0"/>
    <w:rsid w:val="00871D7E"/>
    <w:rsid w:val="0087226B"/>
    <w:rsid w:val="008734A1"/>
    <w:rsid w:val="00873F1D"/>
    <w:rsid w:val="008761AA"/>
    <w:rsid w:val="008771DF"/>
    <w:rsid w:val="0087750F"/>
    <w:rsid w:val="00877B89"/>
    <w:rsid w:val="00880F86"/>
    <w:rsid w:val="00880FFC"/>
    <w:rsid w:val="008813AA"/>
    <w:rsid w:val="00881BA4"/>
    <w:rsid w:val="00882B2A"/>
    <w:rsid w:val="00883B8A"/>
    <w:rsid w:val="00883C0C"/>
    <w:rsid w:val="00883C1F"/>
    <w:rsid w:val="00884BAF"/>
    <w:rsid w:val="00884EDE"/>
    <w:rsid w:val="00885719"/>
    <w:rsid w:val="0088582E"/>
    <w:rsid w:val="008859B0"/>
    <w:rsid w:val="00885A6D"/>
    <w:rsid w:val="00885D5B"/>
    <w:rsid w:val="00887137"/>
    <w:rsid w:val="008872AA"/>
    <w:rsid w:val="00887347"/>
    <w:rsid w:val="008900F2"/>
    <w:rsid w:val="0089045F"/>
    <w:rsid w:val="00891FA0"/>
    <w:rsid w:val="008930F3"/>
    <w:rsid w:val="00893831"/>
    <w:rsid w:val="00896031"/>
    <w:rsid w:val="00896DA3"/>
    <w:rsid w:val="00897019"/>
    <w:rsid w:val="008A01DD"/>
    <w:rsid w:val="008A0880"/>
    <w:rsid w:val="008A08E4"/>
    <w:rsid w:val="008A12E1"/>
    <w:rsid w:val="008A19EF"/>
    <w:rsid w:val="008A2355"/>
    <w:rsid w:val="008A2E70"/>
    <w:rsid w:val="008A2FF9"/>
    <w:rsid w:val="008A3B61"/>
    <w:rsid w:val="008A47D1"/>
    <w:rsid w:val="008A48A2"/>
    <w:rsid w:val="008A4DD1"/>
    <w:rsid w:val="008A523C"/>
    <w:rsid w:val="008A5604"/>
    <w:rsid w:val="008A5874"/>
    <w:rsid w:val="008B149A"/>
    <w:rsid w:val="008B1B63"/>
    <w:rsid w:val="008B3A23"/>
    <w:rsid w:val="008B4147"/>
    <w:rsid w:val="008B451F"/>
    <w:rsid w:val="008B4A5C"/>
    <w:rsid w:val="008B4B33"/>
    <w:rsid w:val="008B53CA"/>
    <w:rsid w:val="008B5AE8"/>
    <w:rsid w:val="008B6CC2"/>
    <w:rsid w:val="008B7BFD"/>
    <w:rsid w:val="008C1907"/>
    <w:rsid w:val="008C251E"/>
    <w:rsid w:val="008C4057"/>
    <w:rsid w:val="008C43C4"/>
    <w:rsid w:val="008C64B6"/>
    <w:rsid w:val="008C6DBE"/>
    <w:rsid w:val="008C6E0C"/>
    <w:rsid w:val="008C6FCE"/>
    <w:rsid w:val="008C7D52"/>
    <w:rsid w:val="008D1246"/>
    <w:rsid w:val="008D1C97"/>
    <w:rsid w:val="008D3C90"/>
    <w:rsid w:val="008D3C92"/>
    <w:rsid w:val="008D55CE"/>
    <w:rsid w:val="008D5604"/>
    <w:rsid w:val="008D6809"/>
    <w:rsid w:val="008D6AC5"/>
    <w:rsid w:val="008D749F"/>
    <w:rsid w:val="008E04B8"/>
    <w:rsid w:val="008E0709"/>
    <w:rsid w:val="008E0AA5"/>
    <w:rsid w:val="008E0DB6"/>
    <w:rsid w:val="008E14A6"/>
    <w:rsid w:val="008E1844"/>
    <w:rsid w:val="008E18E3"/>
    <w:rsid w:val="008E2045"/>
    <w:rsid w:val="008E2329"/>
    <w:rsid w:val="008E2621"/>
    <w:rsid w:val="008E333F"/>
    <w:rsid w:val="008E458C"/>
    <w:rsid w:val="008E5558"/>
    <w:rsid w:val="008E62BB"/>
    <w:rsid w:val="008E730A"/>
    <w:rsid w:val="008E7A18"/>
    <w:rsid w:val="008F05B3"/>
    <w:rsid w:val="008F1969"/>
    <w:rsid w:val="008F3B25"/>
    <w:rsid w:val="008F40F0"/>
    <w:rsid w:val="008F41C5"/>
    <w:rsid w:val="008F46F1"/>
    <w:rsid w:val="008F5C9D"/>
    <w:rsid w:val="008F6143"/>
    <w:rsid w:val="008F7A36"/>
    <w:rsid w:val="00900916"/>
    <w:rsid w:val="00900BFF"/>
    <w:rsid w:val="0090195D"/>
    <w:rsid w:val="00902439"/>
    <w:rsid w:val="009027E8"/>
    <w:rsid w:val="009041CB"/>
    <w:rsid w:val="00904401"/>
    <w:rsid w:val="00907C4B"/>
    <w:rsid w:val="009117FB"/>
    <w:rsid w:val="00911E17"/>
    <w:rsid w:val="009126CF"/>
    <w:rsid w:val="00912A3E"/>
    <w:rsid w:val="00912B6E"/>
    <w:rsid w:val="00912E49"/>
    <w:rsid w:val="009136D1"/>
    <w:rsid w:val="00913722"/>
    <w:rsid w:val="00913ED1"/>
    <w:rsid w:val="0091441A"/>
    <w:rsid w:val="00914CDE"/>
    <w:rsid w:val="00915861"/>
    <w:rsid w:val="00916320"/>
    <w:rsid w:val="009169EC"/>
    <w:rsid w:val="00916E68"/>
    <w:rsid w:val="00916FA0"/>
    <w:rsid w:val="009203A5"/>
    <w:rsid w:val="00920BD9"/>
    <w:rsid w:val="009212E6"/>
    <w:rsid w:val="0092207B"/>
    <w:rsid w:val="00922F46"/>
    <w:rsid w:val="00923240"/>
    <w:rsid w:val="0092546F"/>
    <w:rsid w:val="00925ABB"/>
    <w:rsid w:val="0092696A"/>
    <w:rsid w:val="0093078A"/>
    <w:rsid w:val="00930885"/>
    <w:rsid w:val="00930D55"/>
    <w:rsid w:val="00932C9B"/>
    <w:rsid w:val="00932CAF"/>
    <w:rsid w:val="00932E9B"/>
    <w:rsid w:val="009338DB"/>
    <w:rsid w:val="009339F2"/>
    <w:rsid w:val="00935901"/>
    <w:rsid w:val="00936164"/>
    <w:rsid w:val="00936547"/>
    <w:rsid w:val="00937601"/>
    <w:rsid w:val="00937F38"/>
    <w:rsid w:val="00941102"/>
    <w:rsid w:val="00943AB5"/>
    <w:rsid w:val="00944640"/>
    <w:rsid w:val="00945AAA"/>
    <w:rsid w:val="009462B4"/>
    <w:rsid w:val="009473A6"/>
    <w:rsid w:val="0094751F"/>
    <w:rsid w:val="00947EC5"/>
    <w:rsid w:val="00951ACB"/>
    <w:rsid w:val="00952DB4"/>
    <w:rsid w:val="00955E48"/>
    <w:rsid w:val="009564B1"/>
    <w:rsid w:val="009579A8"/>
    <w:rsid w:val="00957D7C"/>
    <w:rsid w:val="0096011B"/>
    <w:rsid w:val="009639D6"/>
    <w:rsid w:val="00963F31"/>
    <w:rsid w:val="00965887"/>
    <w:rsid w:val="00965EEC"/>
    <w:rsid w:val="00967D88"/>
    <w:rsid w:val="0097062B"/>
    <w:rsid w:val="00970FAE"/>
    <w:rsid w:val="00971A7E"/>
    <w:rsid w:val="00972C20"/>
    <w:rsid w:val="009735C2"/>
    <w:rsid w:val="009757C5"/>
    <w:rsid w:val="009771B3"/>
    <w:rsid w:val="00977DD1"/>
    <w:rsid w:val="00980CB6"/>
    <w:rsid w:val="00984F09"/>
    <w:rsid w:val="0098543E"/>
    <w:rsid w:val="00985C05"/>
    <w:rsid w:val="00986853"/>
    <w:rsid w:val="009870FB"/>
    <w:rsid w:val="00987EC5"/>
    <w:rsid w:val="009915E2"/>
    <w:rsid w:val="00991828"/>
    <w:rsid w:val="0099185B"/>
    <w:rsid w:val="00991BDF"/>
    <w:rsid w:val="00991C91"/>
    <w:rsid w:val="00991D20"/>
    <w:rsid w:val="009927E6"/>
    <w:rsid w:val="009930F6"/>
    <w:rsid w:val="00994993"/>
    <w:rsid w:val="00994E08"/>
    <w:rsid w:val="00995007"/>
    <w:rsid w:val="00996815"/>
    <w:rsid w:val="00996AEE"/>
    <w:rsid w:val="00996F78"/>
    <w:rsid w:val="00997478"/>
    <w:rsid w:val="00997831"/>
    <w:rsid w:val="009A0EC0"/>
    <w:rsid w:val="009A1622"/>
    <w:rsid w:val="009A2946"/>
    <w:rsid w:val="009A2CF5"/>
    <w:rsid w:val="009A3053"/>
    <w:rsid w:val="009A3795"/>
    <w:rsid w:val="009A412A"/>
    <w:rsid w:val="009A5788"/>
    <w:rsid w:val="009A606B"/>
    <w:rsid w:val="009A6CEE"/>
    <w:rsid w:val="009B0850"/>
    <w:rsid w:val="009B0BB0"/>
    <w:rsid w:val="009B0C27"/>
    <w:rsid w:val="009B0F07"/>
    <w:rsid w:val="009B144D"/>
    <w:rsid w:val="009B195A"/>
    <w:rsid w:val="009B25C2"/>
    <w:rsid w:val="009B3058"/>
    <w:rsid w:val="009B351E"/>
    <w:rsid w:val="009B3DC1"/>
    <w:rsid w:val="009B4BAD"/>
    <w:rsid w:val="009B6837"/>
    <w:rsid w:val="009B6E6D"/>
    <w:rsid w:val="009B79A1"/>
    <w:rsid w:val="009B7EC8"/>
    <w:rsid w:val="009B7F8A"/>
    <w:rsid w:val="009C01BF"/>
    <w:rsid w:val="009C0F2E"/>
    <w:rsid w:val="009C10A2"/>
    <w:rsid w:val="009C14F4"/>
    <w:rsid w:val="009C1707"/>
    <w:rsid w:val="009C2A78"/>
    <w:rsid w:val="009C38DC"/>
    <w:rsid w:val="009C3A0F"/>
    <w:rsid w:val="009C4102"/>
    <w:rsid w:val="009C451A"/>
    <w:rsid w:val="009C501F"/>
    <w:rsid w:val="009C522E"/>
    <w:rsid w:val="009C6765"/>
    <w:rsid w:val="009D1B66"/>
    <w:rsid w:val="009D42AA"/>
    <w:rsid w:val="009D4689"/>
    <w:rsid w:val="009D5E81"/>
    <w:rsid w:val="009D62A4"/>
    <w:rsid w:val="009D6D97"/>
    <w:rsid w:val="009D7389"/>
    <w:rsid w:val="009D7C74"/>
    <w:rsid w:val="009D7E1F"/>
    <w:rsid w:val="009E07C9"/>
    <w:rsid w:val="009E08DF"/>
    <w:rsid w:val="009E3DB6"/>
    <w:rsid w:val="009E4096"/>
    <w:rsid w:val="009E482B"/>
    <w:rsid w:val="009E49BA"/>
    <w:rsid w:val="009E54DB"/>
    <w:rsid w:val="009E54FE"/>
    <w:rsid w:val="009E5D2E"/>
    <w:rsid w:val="009E69BE"/>
    <w:rsid w:val="009F151A"/>
    <w:rsid w:val="009F1BFF"/>
    <w:rsid w:val="009F1CDE"/>
    <w:rsid w:val="009F248B"/>
    <w:rsid w:val="009F250F"/>
    <w:rsid w:val="009F2DA6"/>
    <w:rsid w:val="009F425B"/>
    <w:rsid w:val="009F4CC4"/>
    <w:rsid w:val="009F56DB"/>
    <w:rsid w:val="009F58B5"/>
    <w:rsid w:val="009F5D29"/>
    <w:rsid w:val="009F6456"/>
    <w:rsid w:val="009F6674"/>
    <w:rsid w:val="009F77AC"/>
    <w:rsid w:val="00A00156"/>
    <w:rsid w:val="00A00199"/>
    <w:rsid w:val="00A010BB"/>
    <w:rsid w:val="00A01638"/>
    <w:rsid w:val="00A01665"/>
    <w:rsid w:val="00A024D2"/>
    <w:rsid w:val="00A0413D"/>
    <w:rsid w:val="00A043C7"/>
    <w:rsid w:val="00A05DF8"/>
    <w:rsid w:val="00A0730E"/>
    <w:rsid w:val="00A078EA"/>
    <w:rsid w:val="00A0799D"/>
    <w:rsid w:val="00A11111"/>
    <w:rsid w:val="00A1111A"/>
    <w:rsid w:val="00A116A1"/>
    <w:rsid w:val="00A116E3"/>
    <w:rsid w:val="00A1190E"/>
    <w:rsid w:val="00A13010"/>
    <w:rsid w:val="00A13521"/>
    <w:rsid w:val="00A1524E"/>
    <w:rsid w:val="00A16034"/>
    <w:rsid w:val="00A204A7"/>
    <w:rsid w:val="00A21DCE"/>
    <w:rsid w:val="00A221CF"/>
    <w:rsid w:val="00A2269A"/>
    <w:rsid w:val="00A24825"/>
    <w:rsid w:val="00A24BDE"/>
    <w:rsid w:val="00A25075"/>
    <w:rsid w:val="00A25D2F"/>
    <w:rsid w:val="00A26133"/>
    <w:rsid w:val="00A26D17"/>
    <w:rsid w:val="00A30968"/>
    <w:rsid w:val="00A3102C"/>
    <w:rsid w:val="00A31314"/>
    <w:rsid w:val="00A3147D"/>
    <w:rsid w:val="00A32983"/>
    <w:rsid w:val="00A32CCC"/>
    <w:rsid w:val="00A34F8F"/>
    <w:rsid w:val="00A351F6"/>
    <w:rsid w:val="00A358C1"/>
    <w:rsid w:val="00A35E82"/>
    <w:rsid w:val="00A360BD"/>
    <w:rsid w:val="00A371BD"/>
    <w:rsid w:val="00A37B85"/>
    <w:rsid w:val="00A37E4B"/>
    <w:rsid w:val="00A40F1A"/>
    <w:rsid w:val="00A42302"/>
    <w:rsid w:val="00A42A9D"/>
    <w:rsid w:val="00A42CD7"/>
    <w:rsid w:val="00A431BE"/>
    <w:rsid w:val="00A43F94"/>
    <w:rsid w:val="00A447F2"/>
    <w:rsid w:val="00A44E8B"/>
    <w:rsid w:val="00A45041"/>
    <w:rsid w:val="00A4740A"/>
    <w:rsid w:val="00A5218A"/>
    <w:rsid w:val="00A52728"/>
    <w:rsid w:val="00A52825"/>
    <w:rsid w:val="00A5344A"/>
    <w:rsid w:val="00A546C9"/>
    <w:rsid w:val="00A55279"/>
    <w:rsid w:val="00A55BA8"/>
    <w:rsid w:val="00A566DE"/>
    <w:rsid w:val="00A572E0"/>
    <w:rsid w:val="00A62C21"/>
    <w:rsid w:val="00A63BFC"/>
    <w:rsid w:val="00A65AAA"/>
    <w:rsid w:val="00A66A09"/>
    <w:rsid w:val="00A67A42"/>
    <w:rsid w:val="00A7001D"/>
    <w:rsid w:val="00A725A1"/>
    <w:rsid w:val="00A72BB9"/>
    <w:rsid w:val="00A734FE"/>
    <w:rsid w:val="00A737E3"/>
    <w:rsid w:val="00A73946"/>
    <w:rsid w:val="00A73C06"/>
    <w:rsid w:val="00A7500A"/>
    <w:rsid w:val="00A75AB1"/>
    <w:rsid w:val="00A767FF"/>
    <w:rsid w:val="00A76D99"/>
    <w:rsid w:val="00A76E28"/>
    <w:rsid w:val="00A779D8"/>
    <w:rsid w:val="00A77A9C"/>
    <w:rsid w:val="00A81242"/>
    <w:rsid w:val="00A81899"/>
    <w:rsid w:val="00A82987"/>
    <w:rsid w:val="00A843BA"/>
    <w:rsid w:val="00A858D2"/>
    <w:rsid w:val="00A867E6"/>
    <w:rsid w:val="00A877B0"/>
    <w:rsid w:val="00A9171D"/>
    <w:rsid w:val="00A917D6"/>
    <w:rsid w:val="00A93E13"/>
    <w:rsid w:val="00A93F45"/>
    <w:rsid w:val="00A9462A"/>
    <w:rsid w:val="00A949ED"/>
    <w:rsid w:val="00A94AD4"/>
    <w:rsid w:val="00A95700"/>
    <w:rsid w:val="00A95C6B"/>
    <w:rsid w:val="00A95FF3"/>
    <w:rsid w:val="00A9607C"/>
    <w:rsid w:val="00A9609D"/>
    <w:rsid w:val="00A966F0"/>
    <w:rsid w:val="00AA02C1"/>
    <w:rsid w:val="00AA1FC1"/>
    <w:rsid w:val="00AA2592"/>
    <w:rsid w:val="00AA2AA4"/>
    <w:rsid w:val="00AA2AD7"/>
    <w:rsid w:val="00AA2F5D"/>
    <w:rsid w:val="00AA3A99"/>
    <w:rsid w:val="00AA41FD"/>
    <w:rsid w:val="00AA4D44"/>
    <w:rsid w:val="00AA5255"/>
    <w:rsid w:val="00AA565C"/>
    <w:rsid w:val="00AA5747"/>
    <w:rsid w:val="00AB080A"/>
    <w:rsid w:val="00AB0E5D"/>
    <w:rsid w:val="00AB232B"/>
    <w:rsid w:val="00AB2624"/>
    <w:rsid w:val="00AB327B"/>
    <w:rsid w:val="00AB392D"/>
    <w:rsid w:val="00AB3F78"/>
    <w:rsid w:val="00AB64EA"/>
    <w:rsid w:val="00AB6C4B"/>
    <w:rsid w:val="00AB7186"/>
    <w:rsid w:val="00AB7BCB"/>
    <w:rsid w:val="00AB7FFB"/>
    <w:rsid w:val="00AC1410"/>
    <w:rsid w:val="00AC2492"/>
    <w:rsid w:val="00AC2D78"/>
    <w:rsid w:val="00AC5C73"/>
    <w:rsid w:val="00AC636E"/>
    <w:rsid w:val="00AC7447"/>
    <w:rsid w:val="00AC7D2B"/>
    <w:rsid w:val="00AD0163"/>
    <w:rsid w:val="00AD055D"/>
    <w:rsid w:val="00AD058F"/>
    <w:rsid w:val="00AD0670"/>
    <w:rsid w:val="00AD0BAD"/>
    <w:rsid w:val="00AD214A"/>
    <w:rsid w:val="00AD479D"/>
    <w:rsid w:val="00AD651D"/>
    <w:rsid w:val="00AD655B"/>
    <w:rsid w:val="00AD68FF"/>
    <w:rsid w:val="00AD6C78"/>
    <w:rsid w:val="00AE1A94"/>
    <w:rsid w:val="00AE2BDC"/>
    <w:rsid w:val="00AE3016"/>
    <w:rsid w:val="00AE3A03"/>
    <w:rsid w:val="00AE3B46"/>
    <w:rsid w:val="00AE46C0"/>
    <w:rsid w:val="00AE556C"/>
    <w:rsid w:val="00AE5C6F"/>
    <w:rsid w:val="00AE6AF6"/>
    <w:rsid w:val="00AE6BA0"/>
    <w:rsid w:val="00AE75A3"/>
    <w:rsid w:val="00AE7781"/>
    <w:rsid w:val="00AF0A6F"/>
    <w:rsid w:val="00AF15DC"/>
    <w:rsid w:val="00AF1E6D"/>
    <w:rsid w:val="00AF2BBE"/>
    <w:rsid w:val="00AF2CE5"/>
    <w:rsid w:val="00AF30F4"/>
    <w:rsid w:val="00AF3A1C"/>
    <w:rsid w:val="00AF3F2A"/>
    <w:rsid w:val="00AF46AC"/>
    <w:rsid w:val="00AF49B4"/>
    <w:rsid w:val="00AF505A"/>
    <w:rsid w:val="00AF54DB"/>
    <w:rsid w:val="00AF6317"/>
    <w:rsid w:val="00AF791F"/>
    <w:rsid w:val="00AF7A7C"/>
    <w:rsid w:val="00AF7C00"/>
    <w:rsid w:val="00B00053"/>
    <w:rsid w:val="00B00261"/>
    <w:rsid w:val="00B00F4F"/>
    <w:rsid w:val="00B01482"/>
    <w:rsid w:val="00B01F86"/>
    <w:rsid w:val="00B022F0"/>
    <w:rsid w:val="00B030B4"/>
    <w:rsid w:val="00B03E3E"/>
    <w:rsid w:val="00B0458B"/>
    <w:rsid w:val="00B045AF"/>
    <w:rsid w:val="00B04D65"/>
    <w:rsid w:val="00B04F96"/>
    <w:rsid w:val="00B05CE4"/>
    <w:rsid w:val="00B05FBB"/>
    <w:rsid w:val="00B06ABE"/>
    <w:rsid w:val="00B07039"/>
    <w:rsid w:val="00B071BB"/>
    <w:rsid w:val="00B07258"/>
    <w:rsid w:val="00B076F1"/>
    <w:rsid w:val="00B07A15"/>
    <w:rsid w:val="00B11432"/>
    <w:rsid w:val="00B11A5A"/>
    <w:rsid w:val="00B12474"/>
    <w:rsid w:val="00B13914"/>
    <w:rsid w:val="00B1629D"/>
    <w:rsid w:val="00B16AC5"/>
    <w:rsid w:val="00B16F58"/>
    <w:rsid w:val="00B20977"/>
    <w:rsid w:val="00B22A8A"/>
    <w:rsid w:val="00B2322E"/>
    <w:rsid w:val="00B23E0D"/>
    <w:rsid w:val="00B2515D"/>
    <w:rsid w:val="00B2649B"/>
    <w:rsid w:val="00B26649"/>
    <w:rsid w:val="00B26CBF"/>
    <w:rsid w:val="00B27219"/>
    <w:rsid w:val="00B2750D"/>
    <w:rsid w:val="00B30090"/>
    <w:rsid w:val="00B307AF"/>
    <w:rsid w:val="00B310F2"/>
    <w:rsid w:val="00B33600"/>
    <w:rsid w:val="00B34395"/>
    <w:rsid w:val="00B343E0"/>
    <w:rsid w:val="00B346FF"/>
    <w:rsid w:val="00B34EA5"/>
    <w:rsid w:val="00B3619E"/>
    <w:rsid w:val="00B36309"/>
    <w:rsid w:val="00B3657B"/>
    <w:rsid w:val="00B36CA3"/>
    <w:rsid w:val="00B36F2E"/>
    <w:rsid w:val="00B40488"/>
    <w:rsid w:val="00B4062B"/>
    <w:rsid w:val="00B409BA"/>
    <w:rsid w:val="00B41216"/>
    <w:rsid w:val="00B41600"/>
    <w:rsid w:val="00B41627"/>
    <w:rsid w:val="00B42306"/>
    <w:rsid w:val="00B42CE6"/>
    <w:rsid w:val="00B43150"/>
    <w:rsid w:val="00B44B2D"/>
    <w:rsid w:val="00B4528D"/>
    <w:rsid w:val="00B45FDF"/>
    <w:rsid w:val="00B504EA"/>
    <w:rsid w:val="00B505C5"/>
    <w:rsid w:val="00B50E1F"/>
    <w:rsid w:val="00B5186E"/>
    <w:rsid w:val="00B5243D"/>
    <w:rsid w:val="00B52A6F"/>
    <w:rsid w:val="00B53015"/>
    <w:rsid w:val="00B530CA"/>
    <w:rsid w:val="00B53ACC"/>
    <w:rsid w:val="00B54757"/>
    <w:rsid w:val="00B561FD"/>
    <w:rsid w:val="00B57D2B"/>
    <w:rsid w:val="00B60220"/>
    <w:rsid w:val="00B60B0C"/>
    <w:rsid w:val="00B60FDE"/>
    <w:rsid w:val="00B611F1"/>
    <w:rsid w:val="00B617D1"/>
    <w:rsid w:val="00B618FB"/>
    <w:rsid w:val="00B6254A"/>
    <w:rsid w:val="00B653C4"/>
    <w:rsid w:val="00B65597"/>
    <w:rsid w:val="00B6598B"/>
    <w:rsid w:val="00B66B7F"/>
    <w:rsid w:val="00B66C30"/>
    <w:rsid w:val="00B700EA"/>
    <w:rsid w:val="00B70CF0"/>
    <w:rsid w:val="00B725AA"/>
    <w:rsid w:val="00B728C9"/>
    <w:rsid w:val="00B737C0"/>
    <w:rsid w:val="00B74BC2"/>
    <w:rsid w:val="00B74E28"/>
    <w:rsid w:val="00B74E9F"/>
    <w:rsid w:val="00B75108"/>
    <w:rsid w:val="00B754D1"/>
    <w:rsid w:val="00B763EA"/>
    <w:rsid w:val="00B768F7"/>
    <w:rsid w:val="00B76FFC"/>
    <w:rsid w:val="00B77335"/>
    <w:rsid w:val="00B8009F"/>
    <w:rsid w:val="00B80604"/>
    <w:rsid w:val="00B83A20"/>
    <w:rsid w:val="00B8403A"/>
    <w:rsid w:val="00B844A4"/>
    <w:rsid w:val="00B84A62"/>
    <w:rsid w:val="00B84FBC"/>
    <w:rsid w:val="00B86160"/>
    <w:rsid w:val="00B86B7F"/>
    <w:rsid w:val="00B87E37"/>
    <w:rsid w:val="00B913DD"/>
    <w:rsid w:val="00B92086"/>
    <w:rsid w:val="00B92887"/>
    <w:rsid w:val="00B929B9"/>
    <w:rsid w:val="00B92FE4"/>
    <w:rsid w:val="00B95CFB"/>
    <w:rsid w:val="00BA1108"/>
    <w:rsid w:val="00BA1138"/>
    <w:rsid w:val="00BA1424"/>
    <w:rsid w:val="00BA1D75"/>
    <w:rsid w:val="00BA27D5"/>
    <w:rsid w:val="00BA328F"/>
    <w:rsid w:val="00BA39C8"/>
    <w:rsid w:val="00BA40AA"/>
    <w:rsid w:val="00BA6199"/>
    <w:rsid w:val="00BA6758"/>
    <w:rsid w:val="00BA6FA1"/>
    <w:rsid w:val="00BB046F"/>
    <w:rsid w:val="00BB3E12"/>
    <w:rsid w:val="00BB5247"/>
    <w:rsid w:val="00BB5311"/>
    <w:rsid w:val="00BB5947"/>
    <w:rsid w:val="00BB6178"/>
    <w:rsid w:val="00BB66A3"/>
    <w:rsid w:val="00BB66B4"/>
    <w:rsid w:val="00BB78DE"/>
    <w:rsid w:val="00BB7913"/>
    <w:rsid w:val="00BB7C0A"/>
    <w:rsid w:val="00BC055E"/>
    <w:rsid w:val="00BC0B4F"/>
    <w:rsid w:val="00BC0C0A"/>
    <w:rsid w:val="00BC1A5B"/>
    <w:rsid w:val="00BC2710"/>
    <w:rsid w:val="00BC3BBB"/>
    <w:rsid w:val="00BC3C00"/>
    <w:rsid w:val="00BC449D"/>
    <w:rsid w:val="00BC7529"/>
    <w:rsid w:val="00BD07AB"/>
    <w:rsid w:val="00BD1C4B"/>
    <w:rsid w:val="00BD1E44"/>
    <w:rsid w:val="00BD3D77"/>
    <w:rsid w:val="00BD459D"/>
    <w:rsid w:val="00BD662A"/>
    <w:rsid w:val="00BD6BCB"/>
    <w:rsid w:val="00BD73C4"/>
    <w:rsid w:val="00BD7D71"/>
    <w:rsid w:val="00BE0B67"/>
    <w:rsid w:val="00BE0C1A"/>
    <w:rsid w:val="00BE23B1"/>
    <w:rsid w:val="00BE3715"/>
    <w:rsid w:val="00BE44A9"/>
    <w:rsid w:val="00BE567E"/>
    <w:rsid w:val="00BE58C2"/>
    <w:rsid w:val="00BE6293"/>
    <w:rsid w:val="00BE63F6"/>
    <w:rsid w:val="00BE68FA"/>
    <w:rsid w:val="00BE7E2F"/>
    <w:rsid w:val="00BE7FD5"/>
    <w:rsid w:val="00BF055C"/>
    <w:rsid w:val="00BF0DDE"/>
    <w:rsid w:val="00BF1FC8"/>
    <w:rsid w:val="00BF214B"/>
    <w:rsid w:val="00BF40D0"/>
    <w:rsid w:val="00BF45E9"/>
    <w:rsid w:val="00BF4D6F"/>
    <w:rsid w:val="00BF6E09"/>
    <w:rsid w:val="00BF7D8C"/>
    <w:rsid w:val="00C00C1E"/>
    <w:rsid w:val="00C00E50"/>
    <w:rsid w:val="00C02637"/>
    <w:rsid w:val="00C02680"/>
    <w:rsid w:val="00C03128"/>
    <w:rsid w:val="00C03554"/>
    <w:rsid w:val="00C03E28"/>
    <w:rsid w:val="00C06043"/>
    <w:rsid w:val="00C061D0"/>
    <w:rsid w:val="00C06309"/>
    <w:rsid w:val="00C063BC"/>
    <w:rsid w:val="00C06C25"/>
    <w:rsid w:val="00C07776"/>
    <w:rsid w:val="00C07EA1"/>
    <w:rsid w:val="00C1008C"/>
    <w:rsid w:val="00C10AAE"/>
    <w:rsid w:val="00C113C8"/>
    <w:rsid w:val="00C126A3"/>
    <w:rsid w:val="00C12739"/>
    <w:rsid w:val="00C1510C"/>
    <w:rsid w:val="00C15D50"/>
    <w:rsid w:val="00C1681E"/>
    <w:rsid w:val="00C17ACC"/>
    <w:rsid w:val="00C200C7"/>
    <w:rsid w:val="00C20B7E"/>
    <w:rsid w:val="00C22497"/>
    <w:rsid w:val="00C2299B"/>
    <w:rsid w:val="00C22AFF"/>
    <w:rsid w:val="00C26328"/>
    <w:rsid w:val="00C2653C"/>
    <w:rsid w:val="00C26B36"/>
    <w:rsid w:val="00C27C1C"/>
    <w:rsid w:val="00C304E1"/>
    <w:rsid w:val="00C3117D"/>
    <w:rsid w:val="00C31584"/>
    <w:rsid w:val="00C316AD"/>
    <w:rsid w:val="00C3198A"/>
    <w:rsid w:val="00C3404F"/>
    <w:rsid w:val="00C34294"/>
    <w:rsid w:val="00C35A84"/>
    <w:rsid w:val="00C35ADE"/>
    <w:rsid w:val="00C35AF6"/>
    <w:rsid w:val="00C35FF9"/>
    <w:rsid w:val="00C368C8"/>
    <w:rsid w:val="00C36FB6"/>
    <w:rsid w:val="00C373CE"/>
    <w:rsid w:val="00C379B8"/>
    <w:rsid w:val="00C37D4F"/>
    <w:rsid w:val="00C37E64"/>
    <w:rsid w:val="00C400C8"/>
    <w:rsid w:val="00C40187"/>
    <w:rsid w:val="00C40B3C"/>
    <w:rsid w:val="00C418A5"/>
    <w:rsid w:val="00C41D67"/>
    <w:rsid w:val="00C42063"/>
    <w:rsid w:val="00C42586"/>
    <w:rsid w:val="00C42DA2"/>
    <w:rsid w:val="00C42F33"/>
    <w:rsid w:val="00C43401"/>
    <w:rsid w:val="00C4343A"/>
    <w:rsid w:val="00C43B58"/>
    <w:rsid w:val="00C43C10"/>
    <w:rsid w:val="00C4443D"/>
    <w:rsid w:val="00C44653"/>
    <w:rsid w:val="00C44936"/>
    <w:rsid w:val="00C45B62"/>
    <w:rsid w:val="00C47074"/>
    <w:rsid w:val="00C50D10"/>
    <w:rsid w:val="00C519B6"/>
    <w:rsid w:val="00C522FB"/>
    <w:rsid w:val="00C52A90"/>
    <w:rsid w:val="00C53586"/>
    <w:rsid w:val="00C565E2"/>
    <w:rsid w:val="00C56B16"/>
    <w:rsid w:val="00C5729C"/>
    <w:rsid w:val="00C61A38"/>
    <w:rsid w:val="00C62E3C"/>
    <w:rsid w:val="00C645AF"/>
    <w:rsid w:val="00C64754"/>
    <w:rsid w:val="00C652BB"/>
    <w:rsid w:val="00C65ECF"/>
    <w:rsid w:val="00C67065"/>
    <w:rsid w:val="00C70CEB"/>
    <w:rsid w:val="00C71472"/>
    <w:rsid w:val="00C720E9"/>
    <w:rsid w:val="00C721A3"/>
    <w:rsid w:val="00C721E4"/>
    <w:rsid w:val="00C72C22"/>
    <w:rsid w:val="00C72CB1"/>
    <w:rsid w:val="00C739B6"/>
    <w:rsid w:val="00C7454C"/>
    <w:rsid w:val="00C748D2"/>
    <w:rsid w:val="00C75C23"/>
    <w:rsid w:val="00C7604F"/>
    <w:rsid w:val="00C761B8"/>
    <w:rsid w:val="00C761BA"/>
    <w:rsid w:val="00C76AAE"/>
    <w:rsid w:val="00C76B82"/>
    <w:rsid w:val="00C80104"/>
    <w:rsid w:val="00C8052F"/>
    <w:rsid w:val="00C813CB"/>
    <w:rsid w:val="00C81487"/>
    <w:rsid w:val="00C81546"/>
    <w:rsid w:val="00C819FA"/>
    <w:rsid w:val="00C81C55"/>
    <w:rsid w:val="00C82440"/>
    <w:rsid w:val="00C82893"/>
    <w:rsid w:val="00C82E3C"/>
    <w:rsid w:val="00C83992"/>
    <w:rsid w:val="00C84544"/>
    <w:rsid w:val="00C858ED"/>
    <w:rsid w:val="00C87F31"/>
    <w:rsid w:val="00C90046"/>
    <w:rsid w:val="00C901F1"/>
    <w:rsid w:val="00C90383"/>
    <w:rsid w:val="00C926DC"/>
    <w:rsid w:val="00C931B6"/>
    <w:rsid w:val="00C9760F"/>
    <w:rsid w:val="00CA00B2"/>
    <w:rsid w:val="00CA0184"/>
    <w:rsid w:val="00CA0594"/>
    <w:rsid w:val="00CA08F7"/>
    <w:rsid w:val="00CA0BE6"/>
    <w:rsid w:val="00CA12C8"/>
    <w:rsid w:val="00CA189C"/>
    <w:rsid w:val="00CA2495"/>
    <w:rsid w:val="00CA37A6"/>
    <w:rsid w:val="00CA391D"/>
    <w:rsid w:val="00CA4F26"/>
    <w:rsid w:val="00CA5740"/>
    <w:rsid w:val="00CA679D"/>
    <w:rsid w:val="00CA6F12"/>
    <w:rsid w:val="00CB050C"/>
    <w:rsid w:val="00CB0534"/>
    <w:rsid w:val="00CB1794"/>
    <w:rsid w:val="00CB19D8"/>
    <w:rsid w:val="00CB1A89"/>
    <w:rsid w:val="00CB22B5"/>
    <w:rsid w:val="00CB2485"/>
    <w:rsid w:val="00CB2BF2"/>
    <w:rsid w:val="00CB2DD3"/>
    <w:rsid w:val="00CB3DAC"/>
    <w:rsid w:val="00CB3DC1"/>
    <w:rsid w:val="00CB4465"/>
    <w:rsid w:val="00CB4EA1"/>
    <w:rsid w:val="00CB6FC3"/>
    <w:rsid w:val="00CB769B"/>
    <w:rsid w:val="00CC0DDC"/>
    <w:rsid w:val="00CC6EA7"/>
    <w:rsid w:val="00CC7E51"/>
    <w:rsid w:val="00CD0868"/>
    <w:rsid w:val="00CD10E1"/>
    <w:rsid w:val="00CD1A6F"/>
    <w:rsid w:val="00CD1D5E"/>
    <w:rsid w:val="00CD2200"/>
    <w:rsid w:val="00CD2696"/>
    <w:rsid w:val="00CD30F6"/>
    <w:rsid w:val="00CD46A9"/>
    <w:rsid w:val="00CD5638"/>
    <w:rsid w:val="00CD582D"/>
    <w:rsid w:val="00CD5A31"/>
    <w:rsid w:val="00CD5BC2"/>
    <w:rsid w:val="00CE063F"/>
    <w:rsid w:val="00CE0771"/>
    <w:rsid w:val="00CE0C9F"/>
    <w:rsid w:val="00CE0EBD"/>
    <w:rsid w:val="00CE1F8A"/>
    <w:rsid w:val="00CE3CF8"/>
    <w:rsid w:val="00CE3D1A"/>
    <w:rsid w:val="00CE4D38"/>
    <w:rsid w:val="00CE5495"/>
    <w:rsid w:val="00CE6ED7"/>
    <w:rsid w:val="00CE793A"/>
    <w:rsid w:val="00CF0FA3"/>
    <w:rsid w:val="00CF10F7"/>
    <w:rsid w:val="00CF1493"/>
    <w:rsid w:val="00CF2285"/>
    <w:rsid w:val="00CF3506"/>
    <w:rsid w:val="00CF4B6C"/>
    <w:rsid w:val="00CF6D36"/>
    <w:rsid w:val="00CF7323"/>
    <w:rsid w:val="00CF75E8"/>
    <w:rsid w:val="00CF7B69"/>
    <w:rsid w:val="00D002D2"/>
    <w:rsid w:val="00D004D6"/>
    <w:rsid w:val="00D0135F"/>
    <w:rsid w:val="00D0172A"/>
    <w:rsid w:val="00D02273"/>
    <w:rsid w:val="00D03AE8"/>
    <w:rsid w:val="00D03F4C"/>
    <w:rsid w:val="00D0406A"/>
    <w:rsid w:val="00D07DA9"/>
    <w:rsid w:val="00D10E22"/>
    <w:rsid w:val="00D12C8C"/>
    <w:rsid w:val="00D1473A"/>
    <w:rsid w:val="00D157D6"/>
    <w:rsid w:val="00D161EB"/>
    <w:rsid w:val="00D179E4"/>
    <w:rsid w:val="00D203F8"/>
    <w:rsid w:val="00D20E66"/>
    <w:rsid w:val="00D2138E"/>
    <w:rsid w:val="00D22109"/>
    <w:rsid w:val="00D235C0"/>
    <w:rsid w:val="00D250D2"/>
    <w:rsid w:val="00D26B2A"/>
    <w:rsid w:val="00D26D6B"/>
    <w:rsid w:val="00D2740E"/>
    <w:rsid w:val="00D27D2C"/>
    <w:rsid w:val="00D303C5"/>
    <w:rsid w:val="00D30516"/>
    <w:rsid w:val="00D308E5"/>
    <w:rsid w:val="00D30E7B"/>
    <w:rsid w:val="00D310E8"/>
    <w:rsid w:val="00D31654"/>
    <w:rsid w:val="00D31BD3"/>
    <w:rsid w:val="00D32D5B"/>
    <w:rsid w:val="00D3457C"/>
    <w:rsid w:val="00D34AFE"/>
    <w:rsid w:val="00D36976"/>
    <w:rsid w:val="00D37A46"/>
    <w:rsid w:val="00D40CBA"/>
    <w:rsid w:val="00D41F19"/>
    <w:rsid w:val="00D42A60"/>
    <w:rsid w:val="00D43204"/>
    <w:rsid w:val="00D432BA"/>
    <w:rsid w:val="00D436B4"/>
    <w:rsid w:val="00D43C70"/>
    <w:rsid w:val="00D4454F"/>
    <w:rsid w:val="00D451CB"/>
    <w:rsid w:val="00D4713D"/>
    <w:rsid w:val="00D503C5"/>
    <w:rsid w:val="00D508DE"/>
    <w:rsid w:val="00D50D67"/>
    <w:rsid w:val="00D52AFB"/>
    <w:rsid w:val="00D52C70"/>
    <w:rsid w:val="00D532AA"/>
    <w:rsid w:val="00D53439"/>
    <w:rsid w:val="00D53934"/>
    <w:rsid w:val="00D53A72"/>
    <w:rsid w:val="00D557C7"/>
    <w:rsid w:val="00D55A81"/>
    <w:rsid w:val="00D56298"/>
    <w:rsid w:val="00D5687B"/>
    <w:rsid w:val="00D57634"/>
    <w:rsid w:val="00D577DE"/>
    <w:rsid w:val="00D60539"/>
    <w:rsid w:val="00D60E80"/>
    <w:rsid w:val="00D61113"/>
    <w:rsid w:val="00D61655"/>
    <w:rsid w:val="00D616E8"/>
    <w:rsid w:val="00D61F1B"/>
    <w:rsid w:val="00D62ABC"/>
    <w:rsid w:val="00D62BAA"/>
    <w:rsid w:val="00D6343C"/>
    <w:rsid w:val="00D648BD"/>
    <w:rsid w:val="00D648DF"/>
    <w:rsid w:val="00D6695A"/>
    <w:rsid w:val="00D67B45"/>
    <w:rsid w:val="00D70087"/>
    <w:rsid w:val="00D70A03"/>
    <w:rsid w:val="00D71BD7"/>
    <w:rsid w:val="00D73F0E"/>
    <w:rsid w:val="00D74E48"/>
    <w:rsid w:val="00D750B5"/>
    <w:rsid w:val="00D7563D"/>
    <w:rsid w:val="00D7597F"/>
    <w:rsid w:val="00D75B51"/>
    <w:rsid w:val="00D76049"/>
    <w:rsid w:val="00D76B14"/>
    <w:rsid w:val="00D76BD7"/>
    <w:rsid w:val="00D8077B"/>
    <w:rsid w:val="00D808A8"/>
    <w:rsid w:val="00D808FE"/>
    <w:rsid w:val="00D809AC"/>
    <w:rsid w:val="00D81094"/>
    <w:rsid w:val="00D81410"/>
    <w:rsid w:val="00D81AFE"/>
    <w:rsid w:val="00D81B4D"/>
    <w:rsid w:val="00D835DF"/>
    <w:rsid w:val="00D837DE"/>
    <w:rsid w:val="00D83E84"/>
    <w:rsid w:val="00D84247"/>
    <w:rsid w:val="00D8714C"/>
    <w:rsid w:val="00D9048B"/>
    <w:rsid w:val="00D90557"/>
    <w:rsid w:val="00D9125A"/>
    <w:rsid w:val="00D929E0"/>
    <w:rsid w:val="00D92EBA"/>
    <w:rsid w:val="00D9515D"/>
    <w:rsid w:val="00D95756"/>
    <w:rsid w:val="00D95D0E"/>
    <w:rsid w:val="00D97344"/>
    <w:rsid w:val="00D973E9"/>
    <w:rsid w:val="00DA2EE4"/>
    <w:rsid w:val="00DA4F26"/>
    <w:rsid w:val="00DA54EA"/>
    <w:rsid w:val="00DA5552"/>
    <w:rsid w:val="00DA5AD6"/>
    <w:rsid w:val="00DA624F"/>
    <w:rsid w:val="00DA673B"/>
    <w:rsid w:val="00DA70A8"/>
    <w:rsid w:val="00DA752D"/>
    <w:rsid w:val="00DA7626"/>
    <w:rsid w:val="00DA7AA0"/>
    <w:rsid w:val="00DB145D"/>
    <w:rsid w:val="00DB1770"/>
    <w:rsid w:val="00DB1CA4"/>
    <w:rsid w:val="00DB1D3B"/>
    <w:rsid w:val="00DB232D"/>
    <w:rsid w:val="00DB267A"/>
    <w:rsid w:val="00DB2BD9"/>
    <w:rsid w:val="00DB4AA1"/>
    <w:rsid w:val="00DB5190"/>
    <w:rsid w:val="00DB5A76"/>
    <w:rsid w:val="00DB5F30"/>
    <w:rsid w:val="00DB5FFE"/>
    <w:rsid w:val="00DB7A55"/>
    <w:rsid w:val="00DC0AC0"/>
    <w:rsid w:val="00DC0FAF"/>
    <w:rsid w:val="00DC148D"/>
    <w:rsid w:val="00DC1A2E"/>
    <w:rsid w:val="00DC1D26"/>
    <w:rsid w:val="00DC273A"/>
    <w:rsid w:val="00DC2D68"/>
    <w:rsid w:val="00DC3CAD"/>
    <w:rsid w:val="00DC4D63"/>
    <w:rsid w:val="00DC4F3A"/>
    <w:rsid w:val="00DC54C7"/>
    <w:rsid w:val="00DC5675"/>
    <w:rsid w:val="00DC7506"/>
    <w:rsid w:val="00DC79E5"/>
    <w:rsid w:val="00DD030C"/>
    <w:rsid w:val="00DD0371"/>
    <w:rsid w:val="00DD171A"/>
    <w:rsid w:val="00DD1FF7"/>
    <w:rsid w:val="00DD292B"/>
    <w:rsid w:val="00DD2A0F"/>
    <w:rsid w:val="00DD2C86"/>
    <w:rsid w:val="00DD3914"/>
    <w:rsid w:val="00DD41F9"/>
    <w:rsid w:val="00DD460B"/>
    <w:rsid w:val="00DD50A8"/>
    <w:rsid w:val="00DD5D38"/>
    <w:rsid w:val="00DD5ED0"/>
    <w:rsid w:val="00DD6367"/>
    <w:rsid w:val="00DD6A05"/>
    <w:rsid w:val="00DE129A"/>
    <w:rsid w:val="00DE2741"/>
    <w:rsid w:val="00DE32C8"/>
    <w:rsid w:val="00DE3398"/>
    <w:rsid w:val="00DE4218"/>
    <w:rsid w:val="00DE4779"/>
    <w:rsid w:val="00DE510A"/>
    <w:rsid w:val="00DE5BFD"/>
    <w:rsid w:val="00DE63D7"/>
    <w:rsid w:val="00DE6880"/>
    <w:rsid w:val="00DE6CEC"/>
    <w:rsid w:val="00DF0D7A"/>
    <w:rsid w:val="00DF1495"/>
    <w:rsid w:val="00DF2CD2"/>
    <w:rsid w:val="00DF4BE4"/>
    <w:rsid w:val="00DF536B"/>
    <w:rsid w:val="00DF556D"/>
    <w:rsid w:val="00DF7024"/>
    <w:rsid w:val="00DF7D6E"/>
    <w:rsid w:val="00E0031B"/>
    <w:rsid w:val="00E00359"/>
    <w:rsid w:val="00E007DA"/>
    <w:rsid w:val="00E0238F"/>
    <w:rsid w:val="00E02A14"/>
    <w:rsid w:val="00E02E0D"/>
    <w:rsid w:val="00E03682"/>
    <w:rsid w:val="00E039DA"/>
    <w:rsid w:val="00E0687A"/>
    <w:rsid w:val="00E07C94"/>
    <w:rsid w:val="00E104FC"/>
    <w:rsid w:val="00E108CF"/>
    <w:rsid w:val="00E1113F"/>
    <w:rsid w:val="00E1223A"/>
    <w:rsid w:val="00E12A3F"/>
    <w:rsid w:val="00E12B57"/>
    <w:rsid w:val="00E12FF5"/>
    <w:rsid w:val="00E1343B"/>
    <w:rsid w:val="00E13D29"/>
    <w:rsid w:val="00E1542A"/>
    <w:rsid w:val="00E158FA"/>
    <w:rsid w:val="00E161C5"/>
    <w:rsid w:val="00E17398"/>
    <w:rsid w:val="00E17840"/>
    <w:rsid w:val="00E17C13"/>
    <w:rsid w:val="00E215FE"/>
    <w:rsid w:val="00E21F48"/>
    <w:rsid w:val="00E221C5"/>
    <w:rsid w:val="00E23156"/>
    <w:rsid w:val="00E23AD5"/>
    <w:rsid w:val="00E24EA4"/>
    <w:rsid w:val="00E24F54"/>
    <w:rsid w:val="00E2520E"/>
    <w:rsid w:val="00E26C4C"/>
    <w:rsid w:val="00E30930"/>
    <w:rsid w:val="00E31962"/>
    <w:rsid w:val="00E3201D"/>
    <w:rsid w:val="00E32C92"/>
    <w:rsid w:val="00E348E1"/>
    <w:rsid w:val="00E34F88"/>
    <w:rsid w:val="00E35290"/>
    <w:rsid w:val="00E3550C"/>
    <w:rsid w:val="00E37B18"/>
    <w:rsid w:val="00E4008B"/>
    <w:rsid w:val="00E40581"/>
    <w:rsid w:val="00E405A7"/>
    <w:rsid w:val="00E40EF4"/>
    <w:rsid w:val="00E42089"/>
    <w:rsid w:val="00E42C86"/>
    <w:rsid w:val="00E42F3F"/>
    <w:rsid w:val="00E4388E"/>
    <w:rsid w:val="00E43ADA"/>
    <w:rsid w:val="00E43C85"/>
    <w:rsid w:val="00E447A7"/>
    <w:rsid w:val="00E45970"/>
    <w:rsid w:val="00E50230"/>
    <w:rsid w:val="00E50660"/>
    <w:rsid w:val="00E50B78"/>
    <w:rsid w:val="00E53084"/>
    <w:rsid w:val="00E53651"/>
    <w:rsid w:val="00E536C4"/>
    <w:rsid w:val="00E53C80"/>
    <w:rsid w:val="00E54846"/>
    <w:rsid w:val="00E55976"/>
    <w:rsid w:val="00E55E37"/>
    <w:rsid w:val="00E570E1"/>
    <w:rsid w:val="00E57111"/>
    <w:rsid w:val="00E57D61"/>
    <w:rsid w:val="00E60CA5"/>
    <w:rsid w:val="00E62646"/>
    <w:rsid w:val="00E628D2"/>
    <w:rsid w:val="00E62E01"/>
    <w:rsid w:val="00E63D19"/>
    <w:rsid w:val="00E63E3A"/>
    <w:rsid w:val="00E6472C"/>
    <w:rsid w:val="00E64C1E"/>
    <w:rsid w:val="00E65086"/>
    <w:rsid w:val="00E65150"/>
    <w:rsid w:val="00E65302"/>
    <w:rsid w:val="00E65565"/>
    <w:rsid w:val="00E66045"/>
    <w:rsid w:val="00E67263"/>
    <w:rsid w:val="00E6786D"/>
    <w:rsid w:val="00E67D87"/>
    <w:rsid w:val="00E71203"/>
    <w:rsid w:val="00E712DA"/>
    <w:rsid w:val="00E714CB"/>
    <w:rsid w:val="00E7234E"/>
    <w:rsid w:val="00E7254F"/>
    <w:rsid w:val="00E72793"/>
    <w:rsid w:val="00E72F9B"/>
    <w:rsid w:val="00E73BC9"/>
    <w:rsid w:val="00E747CB"/>
    <w:rsid w:val="00E75844"/>
    <w:rsid w:val="00E761E5"/>
    <w:rsid w:val="00E76C46"/>
    <w:rsid w:val="00E774E9"/>
    <w:rsid w:val="00E80ACC"/>
    <w:rsid w:val="00E80C9D"/>
    <w:rsid w:val="00E8194A"/>
    <w:rsid w:val="00E822E8"/>
    <w:rsid w:val="00E8257E"/>
    <w:rsid w:val="00E82AA8"/>
    <w:rsid w:val="00E84E6F"/>
    <w:rsid w:val="00E84F3D"/>
    <w:rsid w:val="00E8528B"/>
    <w:rsid w:val="00E85553"/>
    <w:rsid w:val="00E857F0"/>
    <w:rsid w:val="00E87B50"/>
    <w:rsid w:val="00E933F0"/>
    <w:rsid w:val="00E93CA4"/>
    <w:rsid w:val="00E95AA8"/>
    <w:rsid w:val="00E95E71"/>
    <w:rsid w:val="00E96787"/>
    <w:rsid w:val="00E9699C"/>
    <w:rsid w:val="00E971F2"/>
    <w:rsid w:val="00E97C92"/>
    <w:rsid w:val="00E97EDB"/>
    <w:rsid w:val="00EA0F28"/>
    <w:rsid w:val="00EA11FB"/>
    <w:rsid w:val="00EA28E6"/>
    <w:rsid w:val="00EA544E"/>
    <w:rsid w:val="00EA5C5C"/>
    <w:rsid w:val="00EA616A"/>
    <w:rsid w:val="00EA7CEB"/>
    <w:rsid w:val="00EB05CA"/>
    <w:rsid w:val="00EB060E"/>
    <w:rsid w:val="00EB08E1"/>
    <w:rsid w:val="00EB2523"/>
    <w:rsid w:val="00EB38BD"/>
    <w:rsid w:val="00EB3C5B"/>
    <w:rsid w:val="00EB539C"/>
    <w:rsid w:val="00EB631F"/>
    <w:rsid w:val="00EB7DD6"/>
    <w:rsid w:val="00EC107E"/>
    <w:rsid w:val="00EC210E"/>
    <w:rsid w:val="00EC2C61"/>
    <w:rsid w:val="00EC3D71"/>
    <w:rsid w:val="00EC4B59"/>
    <w:rsid w:val="00EC615C"/>
    <w:rsid w:val="00EC6D9A"/>
    <w:rsid w:val="00ED1D06"/>
    <w:rsid w:val="00ED2228"/>
    <w:rsid w:val="00ED2618"/>
    <w:rsid w:val="00ED3093"/>
    <w:rsid w:val="00ED3ADC"/>
    <w:rsid w:val="00ED4C0A"/>
    <w:rsid w:val="00ED59F8"/>
    <w:rsid w:val="00ED732E"/>
    <w:rsid w:val="00ED791C"/>
    <w:rsid w:val="00EE0D68"/>
    <w:rsid w:val="00EE1600"/>
    <w:rsid w:val="00EE1793"/>
    <w:rsid w:val="00EE1D76"/>
    <w:rsid w:val="00EE1DFB"/>
    <w:rsid w:val="00EE27E5"/>
    <w:rsid w:val="00EE2B5B"/>
    <w:rsid w:val="00EE3A01"/>
    <w:rsid w:val="00EE3E31"/>
    <w:rsid w:val="00EE4CBE"/>
    <w:rsid w:val="00EE5514"/>
    <w:rsid w:val="00EE79EA"/>
    <w:rsid w:val="00EF0748"/>
    <w:rsid w:val="00EF0F2B"/>
    <w:rsid w:val="00EF12D8"/>
    <w:rsid w:val="00EF6FC1"/>
    <w:rsid w:val="00EF740E"/>
    <w:rsid w:val="00F0010A"/>
    <w:rsid w:val="00F0333F"/>
    <w:rsid w:val="00F033DC"/>
    <w:rsid w:val="00F06067"/>
    <w:rsid w:val="00F068E2"/>
    <w:rsid w:val="00F06B61"/>
    <w:rsid w:val="00F07987"/>
    <w:rsid w:val="00F07E5B"/>
    <w:rsid w:val="00F1079B"/>
    <w:rsid w:val="00F11ECA"/>
    <w:rsid w:val="00F127B8"/>
    <w:rsid w:val="00F12876"/>
    <w:rsid w:val="00F12CB6"/>
    <w:rsid w:val="00F13438"/>
    <w:rsid w:val="00F159CB"/>
    <w:rsid w:val="00F16121"/>
    <w:rsid w:val="00F1634D"/>
    <w:rsid w:val="00F17EB3"/>
    <w:rsid w:val="00F20B8A"/>
    <w:rsid w:val="00F213A9"/>
    <w:rsid w:val="00F22914"/>
    <w:rsid w:val="00F231BA"/>
    <w:rsid w:val="00F23E03"/>
    <w:rsid w:val="00F24C4D"/>
    <w:rsid w:val="00F255DA"/>
    <w:rsid w:val="00F25A0C"/>
    <w:rsid w:val="00F26010"/>
    <w:rsid w:val="00F26DC2"/>
    <w:rsid w:val="00F26FA2"/>
    <w:rsid w:val="00F271DA"/>
    <w:rsid w:val="00F313C0"/>
    <w:rsid w:val="00F31AA1"/>
    <w:rsid w:val="00F33007"/>
    <w:rsid w:val="00F332D7"/>
    <w:rsid w:val="00F3332F"/>
    <w:rsid w:val="00F347CD"/>
    <w:rsid w:val="00F34CC4"/>
    <w:rsid w:val="00F35496"/>
    <w:rsid w:val="00F35879"/>
    <w:rsid w:val="00F35FB2"/>
    <w:rsid w:val="00F360E9"/>
    <w:rsid w:val="00F36324"/>
    <w:rsid w:val="00F3715A"/>
    <w:rsid w:val="00F37567"/>
    <w:rsid w:val="00F37FBE"/>
    <w:rsid w:val="00F40783"/>
    <w:rsid w:val="00F41ED0"/>
    <w:rsid w:val="00F4201A"/>
    <w:rsid w:val="00F42CED"/>
    <w:rsid w:val="00F44702"/>
    <w:rsid w:val="00F45111"/>
    <w:rsid w:val="00F45CBB"/>
    <w:rsid w:val="00F46098"/>
    <w:rsid w:val="00F46558"/>
    <w:rsid w:val="00F46B19"/>
    <w:rsid w:val="00F46C4C"/>
    <w:rsid w:val="00F47872"/>
    <w:rsid w:val="00F50722"/>
    <w:rsid w:val="00F50EC5"/>
    <w:rsid w:val="00F51DCD"/>
    <w:rsid w:val="00F532ED"/>
    <w:rsid w:val="00F53307"/>
    <w:rsid w:val="00F54784"/>
    <w:rsid w:val="00F54C31"/>
    <w:rsid w:val="00F56159"/>
    <w:rsid w:val="00F56F5E"/>
    <w:rsid w:val="00F605F8"/>
    <w:rsid w:val="00F60A4A"/>
    <w:rsid w:val="00F60B5B"/>
    <w:rsid w:val="00F6135A"/>
    <w:rsid w:val="00F61AE7"/>
    <w:rsid w:val="00F62260"/>
    <w:rsid w:val="00F6249C"/>
    <w:rsid w:val="00F625CB"/>
    <w:rsid w:val="00F64AEE"/>
    <w:rsid w:val="00F64AF4"/>
    <w:rsid w:val="00F65B77"/>
    <w:rsid w:val="00F66270"/>
    <w:rsid w:val="00F663F6"/>
    <w:rsid w:val="00F66B75"/>
    <w:rsid w:val="00F671DE"/>
    <w:rsid w:val="00F673DF"/>
    <w:rsid w:val="00F6796C"/>
    <w:rsid w:val="00F70655"/>
    <w:rsid w:val="00F7071A"/>
    <w:rsid w:val="00F70C06"/>
    <w:rsid w:val="00F7100B"/>
    <w:rsid w:val="00F715C1"/>
    <w:rsid w:val="00F7216B"/>
    <w:rsid w:val="00F75DA5"/>
    <w:rsid w:val="00F7611F"/>
    <w:rsid w:val="00F76B77"/>
    <w:rsid w:val="00F775A1"/>
    <w:rsid w:val="00F8084C"/>
    <w:rsid w:val="00F81807"/>
    <w:rsid w:val="00F833B7"/>
    <w:rsid w:val="00F85066"/>
    <w:rsid w:val="00F86AEA"/>
    <w:rsid w:val="00F90194"/>
    <w:rsid w:val="00F90359"/>
    <w:rsid w:val="00F90D17"/>
    <w:rsid w:val="00F918C7"/>
    <w:rsid w:val="00F92169"/>
    <w:rsid w:val="00F92201"/>
    <w:rsid w:val="00F932B4"/>
    <w:rsid w:val="00F93616"/>
    <w:rsid w:val="00F949B2"/>
    <w:rsid w:val="00F949C7"/>
    <w:rsid w:val="00F94A11"/>
    <w:rsid w:val="00F967D1"/>
    <w:rsid w:val="00F96823"/>
    <w:rsid w:val="00FA0686"/>
    <w:rsid w:val="00FA0739"/>
    <w:rsid w:val="00FA084D"/>
    <w:rsid w:val="00FA0C63"/>
    <w:rsid w:val="00FA28C6"/>
    <w:rsid w:val="00FA36F8"/>
    <w:rsid w:val="00FA3EC5"/>
    <w:rsid w:val="00FA547B"/>
    <w:rsid w:val="00FA579F"/>
    <w:rsid w:val="00FA5FD0"/>
    <w:rsid w:val="00FA61A7"/>
    <w:rsid w:val="00FA6D75"/>
    <w:rsid w:val="00FB003D"/>
    <w:rsid w:val="00FB07CE"/>
    <w:rsid w:val="00FB0C73"/>
    <w:rsid w:val="00FB1FF9"/>
    <w:rsid w:val="00FB246C"/>
    <w:rsid w:val="00FB26CE"/>
    <w:rsid w:val="00FB2814"/>
    <w:rsid w:val="00FB38A1"/>
    <w:rsid w:val="00FB731B"/>
    <w:rsid w:val="00FC1E4E"/>
    <w:rsid w:val="00FC1F3C"/>
    <w:rsid w:val="00FC21BB"/>
    <w:rsid w:val="00FC2DCE"/>
    <w:rsid w:val="00FC32F3"/>
    <w:rsid w:val="00FC3D01"/>
    <w:rsid w:val="00FC49A4"/>
    <w:rsid w:val="00FC5025"/>
    <w:rsid w:val="00FC553C"/>
    <w:rsid w:val="00FC6134"/>
    <w:rsid w:val="00FC73AF"/>
    <w:rsid w:val="00FD00F8"/>
    <w:rsid w:val="00FD06F4"/>
    <w:rsid w:val="00FD1458"/>
    <w:rsid w:val="00FD2CB6"/>
    <w:rsid w:val="00FD490B"/>
    <w:rsid w:val="00FD5E16"/>
    <w:rsid w:val="00FD63AC"/>
    <w:rsid w:val="00FD659E"/>
    <w:rsid w:val="00FD6757"/>
    <w:rsid w:val="00FD7607"/>
    <w:rsid w:val="00FD768D"/>
    <w:rsid w:val="00FE0FDD"/>
    <w:rsid w:val="00FE16F4"/>
    <w:rsid w:val="00FE191E"/>
    <w:rsid w:val="00FE1D91"/>
    <w:rsid w:val="00FE3241"/>
    <w:rsid w:val="00FE398A"/>
    <w:rsid w:val="00FE40B5"/>
    <w:rsid w:val="00FE6827"/>
    <w:rsid w:val="00FE6837"/>
    <w:rsid w:val="00FE6B18"/>
    <w:rsid w:val="00FE720E"/>
    <w:rsid w:val="00FF09E6"/>
    <w:rsid w:val="00FF0E9E"/>
    <w:rsid w:val="00FF1A43"/>
    <w:rsid w:val="00FF1D69"/>
    <w:rsid w:val="00FF5247"/>
    <w:rsid w:val="00FF64EB"/>
    <w:rsid w:val="00FF6A42"/>
    <w:rsid w:val="00FF7B06"/>
    <w:rsid w:val="01526CBD"/>
    <w:rsid w:val="034648EB"/>
    <w:rsid w:val="03A90401"/>
    <w:rsid w:val="03F87E38"/>
    <w:rsid w:val="03FD4EAE"/>
    <w:rsid w:val="0402038D"/>
    <w:rsid w:val="05AE2558"/>
    <w:rsid w:val="09402065"/>
    <w:rsid w:val="09465C0B"/>
    <w:rsid w:val="09F072A7"/>
    <w:rsid w:val="0A067021"/>
    <w:rsid w:val="0A50763F"/>
    <w:rsid w:val="0ACD5205"/>
    <w:rsid w:val="0B8C4F8C"/>
    <w:rsid w:val="0B933791"/>
    <w:rsid w:val="0BA37CD1"/>
    <w:rsid w:val="0BC67533"/>
    <w:rsid w:val="0C472782"/>
    <w:rsid w:val="0D5C208C"/>
    <w:rsid w:val="0EF03CAB"/>
    <w:rsid w:val="0FB43252"/>
    <w:rsid w:val="109B67D5"/>
    <w:rsid w:val="10E356AB"/>
    <w:rsid w:val="10F71CEB"/>
    <w:rsid w:val="11CD2BBA"/>
    <w:rsid w:val="121558F8"/>
    <w:rsid w:val="1285071B"/>
    <w:rsid w:val="12923F8E"/>
    <w:rsid w:val="129729D3"/>
    <w:rsid w:val="12D84713"/>
    <w:rsid w:val="136D098D"/>
    <w:rsid w:val="139C16DC"/>
    <w:rsid w:val="14D759B3"/>
    <w:rsid w:val="1505764D"/>
    <w:rsid w:val="153D43A1"/>
    <w:rsid w:val="1578494A"/>
    <w:rsid w:val="158A4D02"/>
    <w:rsid w:val="1626729E"/>
    <w:rsid w:val="169726E6"/>
    <w:rsid w:val="170C0CEC"/>
    <w:rsid w:val="1768024E"/>
    <w:rsid w:val="18A82C62"/>
    <w:rsid w:val="19181E8D"/>
    <w:rsid w:val="1BCA2B74"/>
    <w:rsid w:val="1C706918"/>
    <w:rsid w:val="1E3C6CD8"/>
    <w:rsid w:val="1E4E78C4"/>
    <w:rsid w:val="1F423841"/>
    <w:rsid w:val="1F624779"/>
    <w:rsid w:val="218248C2"/>
    <w:rsid w:val="2232077C"/>
    <w:rsid w:val="226E4419"/>
    <w:rsid w:val="227754E7"/>
    <w:rsid w:val="228417EF"/>
    <w:rsid w:val="22BD12A4"/>
    <w:rsid w:val="22D53283"/>
    <w:rsid w:val="23E3762F"/>
    <w:rsid w:val="244C7434"/>
    <w:rsid w:val="24785733"/>
    <w:rsid w:val="24C173C0"/>
    <w:rsid w:val="2552252C"/>
    <w:rsid w:val="259A6F3E"/>
    <w:rsid w:val="27193922"/>
    <w:rsid w:val="29214CA7"/>
    <w:rsid w:val="29D21DAA"/>
    <w:rsid w:val="2A59204B"/>
    <w:rsid w:val="2B576BE5"/>
    <w:rsid w:val="2C0908BB"/>
    <w:rsid w:val="2CAE35FE"/>
    <w:rsid w:val="2CF81E0A"/>
    <w:rsid w:val="2D033219"/>
    <w:rsid w:val="2D197BC9"/>
    <w:rsid w:val="2D4B0CA3"/>
    <w:rsid w:val="2E4C1C5B"/>
    <w:rsid w:val="2FAD1763"/>
    <w:rsid w:val="2FC323CD"/>
    <w:rsid w:val="314C4685"/>
    <w:rsid w:val="317137EC"/>
    <w:rsid w:val="32D91754"/>
    <w:rsid w:val="33962381"/>
    <w:rsid w:val="34855399"/>
    <w:rsid w:val="359B7982"/>
    <w:rsid w:val="35B36ACC"/>
    <w:rsid w:val="36E20D90"/>
    <w:rsid w:val="391F607F"/>
    <w:rsid w:val="3A654F49"/>
    <w:rsid w:val="3A6A5CA4"/>
    <w:rsid w:val="3B976AD1"/>
    <w:rsid w:val="3C646672"/>
    <w:rsid w:val="3C9914A3"/>
    <w:rsid w:val="3CAF4D55"/>
    <w:rsid w:val="3D07462D"/>
    <w:rsid w:val="3EAA2C44"/>
    <w:rsid w:val="3F1F5A15"/>
    <w:rsid w:val="3F883078"/>
    <w:rsid w:val="40774032"/>
    <w:rsid w:val="40921B9D"/>
    <w:rsid w:val="411155AB"/>
    <w:rsid w:val="414A6774"/>
    <w:rsid w:val="42083379"/>
    <w:rsid w:val="425F7D00"/>
    <w:rsid w:val="42963390"/>
    <w:rsid w:val="42A70014"/>
    <w:rsid w:val="42F21173"/>
    <w:rsid w:val="43167A34"/>
    <w:rsid w:val="447043CC"/>
    <w:rsid w:val="45832844"/>
    <w:rsid w:val="458700B4"/>
    <w:rsid w:val="46510DE9"/>
    <w:rsid w:val="46BB5810"/>
    <w:rsid w:val="46F76FB9"/>
    <w:rsid w:val="475D4F8D"/>
    <w:rsid w:val="477B6160"/>
    <w:rsid w:val="4A344E35"/>
    <w:rsid w:val="4AC772FC"/>
    <w:rsid w:val="4BEA6AAC"/>
    <w:rsid w:val="4E775A3B"/>
    <w:rsid w:val="4F3C490D"/>
    <w:rsid w:val="514877BD"/>
    <w:rsid w:val="51927EEF"/>
    <w:rsid w:val="51D14794"/>
    <w:rsid w:val="53A213E2"/>
    <w:rsid w:val="53DF5909"/>
    <w:rsid w:val="53E86C34"/>
    <w:rsid w:val="54A43669"/>
    <w:rsid w:val="55167C19"/>
    <w:rsid w:val="55360495"/>
    <w:rsid w:val="55E8330D"/>
    <w:rsid w:val="562E74C8"/>
    <w:rsid w:val="565460A0"/>
    <w:rsid w:val="570D3F80"/>
    <w:rsid w:val="574C7DB5"/>
    <w:rsid w:val="57C7691F"/>
    <w:rsid w:val="580874E2"/>
    <w:rsid w:val="584D4F35"/>
    <w:rsid w:val="59E25A9D"/>
    <w:rsid w:val="59E63E59"/>
    <w:rsid w:val="59F53185"/>
    <w:rsid w:val="5BB1767E"/>
    <w:rsid w:val="5D3F4EE6"/>
    <w:rsid w:val="5DE4790E"/>
    <w:rsid w:val="5DFE179B"/>
    <w:rsid w:val="5E9501F8"/>
    <w:rsid w:val="5F4B1B2B"/>
    <w:rsid w:val="5FCD37E7"/>
    <w:rsid w:val="6148518C"/>
    <w:rsid w:val="61A11F3E"/>
    <w:rsid w:val="626F5F7B"/>
    <w:rsid w:val="6399617D"/>
    <w:rsid w:val="63D93FE5"/>
    <w:rsid w:val="64563421"/>
    <w:rsid w:val="648314BE"/>
    <w:rsid w:val="649568C5"/>
    <w:rsid w:val="64E9034E"/>
    <w:rsid w:val="659008A2"/>
    <w:rsid w:val="65B8311D"/>
    <w:rsid w:val="66755427"/>
    <w:rsid w:val="66AD14AF"/>
    <w:rsid w:val="67803617"/>
    <w:rsid w:val="68772B87"/>
    <w:rsid w:val="68A173B7"/>
    <w:rsid w:val="692A040B"/>
    <w:rsid w:val="69DA70EC"/>
    <w:rsid w:val="6C5107EE"/>
    <w:rsid w:val="6CEB24A9"/>
    <w:rsid w:val="6D192390"/>
    <w:rsid w:val="6DB65CCD"/>
    <w:rsid w:val="6DF43800"/>
    <w:rsid w:val="6F4605DA"/>
    <w:rsid w:val="6F8802D0"/>
    <w:rsid w:val="70084463"/>
    <w:rsid w:val="704E3410"/>
    <w:rsid w:val="70B06C12"/>
    <w:rsid w:val="71BB206C"/>
    <w:rsid w:val="71F94FA7"/>
    <w:rsid w:val="722873C9"/>
    <w:rsid w:val="737B69AE"/>
    <w:rsid w:val="749C587C"/>
    <w:rsid w:val="74B5255D"/>
    <w:rsid w:val="754B639C"/>
    <w:rsid w:val="760B7150"/>
    <w:rsid w:val="77191F18"/>
    <w:rsid w:val="78660FE6"/>
    <w:rsid w:val="7C022207"/>
    <w:rsid w:val="7C4012C6"/>
    <w:rsid w:val="7CBC06E8"/>
    <w:rsid w:val="7DA7007B"/>
    <w:rsid w:val="7E28073B"/>
    <w:rsid w:val="7F1C4F14"/>
    <w:rsid w:val="7F8D22F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nhideWhenUsed="0" w:uiPriority="99" w:semiHidden="0"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semiHidden="0" w:name="toc 1"/>
    <w:lsdException w:unhideWhenUsed="0" w:uiPriority="99" w:semiHidden="0" w:name="toc 2"/>
    <w:lsdException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nhideWhenUsed="0" w:uiPriority="99" w:semiHidden="0" w:name="Normal Indent"/>
    <w:lsdException w:uiPriority="99" w:name="footnote text" w:locked="1"/>
    <w:lsdException w:unhideWhenUsed="0" w:uiPriority="99" w:name="annotation text"/>
    <w:lsdException w:unhideWhenUsed="0" w:uiPriority="99" w:semiHidden="0" w:name="header"/>
    <w:lsdException w:unhideWhenUsed="0" w:uiPriority="99" w:semiHidden="0" w:name="footer"/>
    <w:lsdException w:uiPriority="99" w:name="index heading" w:locked="1"/>
    <w:lsdException w:qFormat="1" w:unhideWhenUsed="0" w:uiPriority="99" w:semiHidden="0" w:name="caption" w:locked="1"/>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semiHidden="0"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nhideWhenUsed="0" w:uiPriority="99" w:semiHidden="0" w:name="List 2" w:locked="1"/>
    <w:lsdException w:unhideWhenUsed="0" w:uiPriority="99" w:semiHidden="0" w:name="List 3"/>
    <w:lsdException w:unhideWhenUsed="0" w:uiPriority="99" w:semiHidden="0" w:name="List 4"/>
    <w:lsdException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nhideWhenUsed="0" w:uiPriority="99" w:semiHidden="0" w:name="Body Text"/>
    <w:lsdException w:unhideWhenUsed="0" w:uiPriority="99" w:semiHidden="0" w:name="Body Text Indent"/>
    <w:lsdException w:unhideWhenUsed="0" w:uiPriority="99" w:semiHidden="0" w:name="List Continue" w:locked="1"/>
    <w:lsdException w:unhideWhenUsed="0" w:uiPriority="99" w:semiHidden="0" w:name="List Continue 2"/>
    <w:lsdException w:unhideWhenUsed="0" w:uiPriority="99" w:semiHidden="0" w:name="List Continue 3"/>
    <w:lsdException w:unhideWhenUsed="0" w:uiPriority="99" w:semiHidden="0" w:name="List Continue 4"/>
    <w:lsdException w:uiPriority="99" w:name="List Continue 5" w:locked="1"/>
    <w:lsdException w:uiPriority="99" w:name="Message Header" w:locked="1"/>
    <w:lsdException w:qFormat="1" w:unhideWhenUsed="0" w:uiPriority="11" w:semiHidden="0" w:name="Subtitle" w:locked="1"/>
    <w:lsdException w:uiPriority="99" w:name="Salutation" w:locked="1"/>
    <w:lsdException w:unhideWhenUsed="0" w:uiPriority="99" w:semiHidden="0" w:name="Date"/>
    <w:lsdException w:unhideWhenUsed="0" w:uiPriority="99" w:semiHidden="0" w:name="Body Text First Indent" w:locked="1"/>
    <w:lsdException w:unhideWhenUsed="0" w:uiPriority="99" w:semiHidden="0" w:name="Body Text First Indent 2" w:locked="1"/>
    <w:lsdException w:uiPriority="99" w:name="Note Heading" w:locked="1"/>
    <w:lsdException w:unhideWhenUsed="0" w:uiPriority="99" w:semiHidden="0" w:name="Body Text 2" w:locked="1"/>
    <w:lsdException w:uiPriority="99" w:name="Body Text 3" w:locked="1"/>
    <w:lsdException w:unhideWhenUsed="0" w:uiPriority="99" w:semiHidden="0" w:name="Body Text Indent 2" w:locked="1"/>
    <w:lsdException w:unhideWhenUsed="0" w:uiPriority="99" w:semiHidden="0" w:name="Body Text Indent 3"/>
    <w:lsdException w:uiPriority="99" w:name="Block Text" w:locked="1"/>
    <w:lsdException w:unhideWhenUsed="0" w:uiPriority="99" w:semiHidden="0" w:name="Hyperlink"/>
    <w:lsdException w:unhideWhenUsed="0" w:uiPriority="99" w:semiHidden="0" w:name="FollowedHyperlink" w:locked="1"/>
    <w:lsdException w:qFormat="1" w:unhideWhenUsed="0" w:uiPriority="99" w:semiHidden="0" w:name="Strong"/>
    <w:lsdException w:qFormat="1" w:unhideWhenUsed="0" w:uiPriority="99" w:semiHidden="0" w:name="Emphasis"/>
    <w:lsdException w:unhideWhenUsed="0" w:uiPriority="99" w:name="Document Map"/>
    <w:lsdException w:unhideWhenUsed="0" w:uiPriority="99" w:semiHidden="0" w:name="Plain Text"/>
    <w:lsdException w:uiPriority="99" w:name="E-mail Signature" w:locked="1"/>
    <w:lsdException w:unhideWhenUsed="0" w:uiPriority="99" w:semiHidden="0" w:name="Normal (Web)" w:locked="1"/>
    <w:lsdException w:unhideWhenUsed="0" w:uiPriority="99" w:semiHidden="0" w:name="HTML Acronym" w:locked="1"/>
    <w:lsdException w:uiPriority="99" w:name="HTML Address" w:locked="1"/>
    <w:lsdException w:unhideWhenUsed="0" w:uiPriority="99" w:semiHidden="0" w:name="HTML Cite"/>
    <w:lsdException w:unhideWhenUsed="0" w:uiPriority="99" w:semiHidden="0" w:name="HTML Code"/>
    <w:lsdException w:unhideWhenUsed="0" w:uiPriority="99" w:semiHidden="0" w:name="HTML Definition"/>
    <w:lsdException w:uiPriority="99" w:name="HTML Keyboard" w:locked="1"/>
    <w:lsdException w:unhideWhenUsed="0" w:uiPriority="99" w:semiHidden="0" w:name="HTML Preformatted" w:locked="1"/>
    <w:lsdException w:uiPriority="99" w:name="HTML Sample" w:locked="1"/>
    <w:lsdException w:unhideWhenUsed="0" w:uiPriority="99" w:semiHidden="0" w:name="HTML Typewriter" w:locked="1"/>
    <w:lsdException w:unhideWhenUsed="0" w:uiPriority="99" w:semiHidden="0" w:name="HTML Variable"/>
    <w:lsdException w:qFormat="1" w:uiPriority="99" w:name="Normal Table"/>
    <w:lsdException w:unhideWhenUsed="0" w:uiPriority="99" w:semiHidden="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ocked="1"/>
    <w:lsdException w:unhideWhenUsed="0" w:uiPriority="99" w:semiHidden="0" w:name="Table Grid"/>
    <w:lsdException w:uiPriority="99" w:name="Table Theme" w:locked="1"/>
    <w:lsdException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99"/>
    <w:pPr>
      <w:widowControl/>
      <w:spacing w:before="100" w:beforeAutospacing="1" w:after="100" w:afterAutospacing="1"/>
      <w:jc w:val="left"/>
      <w:outlineLvl w:val="0"/>
    </w:pPr>
    <w:rPr>
      <w:b/>
      <w:kern w:val="44"/>
      <w:sz w:val="44"/>
      <w:szCs w:val="20"/>
    </w:rPr>
  </w:style>
  <w:style w:type="paragraph" w:styleId="3">
    <w:name w:val="heading 2"/>
    <w:basedOn w:val="1"/>
    <w:next w:val="1"/>
    <w:link w:val="51"/>
    <w:qFormat/>
    <w:locked/>
    <w:uiPriority w:val="99"/>
    <w:pPr>
      <w:keepNext/>
      <w:tabs>
        <w:tab w:val="left" w:pos="1716"/>
      </w:tabs>
      <w:spacing w:line="560" w:lineRule="exact"/>
      <w:ind w:left="1716" w:hanging="720"/>
      <w:outlineLvl w:val="1"/>
    </w:pPr>
    <w:rPr>
      <w:rFonts w:ascii="宋体" w:eastAsia="Times New Roman"/>
      <w:sz w:val="28"/>
      <w:szCs w:val="20"/>
    </w:rPr>
  </w:style>
  <w:style w:type="paragraph" w:styleId="4">
    <w:name w:val="heading 3"/>
    <w:basedOn w:val="1"/>
    <w:next w:val="1"/>
    <w:link w:val="52"/>
    <w:qFormat/>
    <w:locked/>
    <w:uiPriority w:val="99"/>
    <w:pPr>
      <w:widowControl/>
      <w:spacing w:before="100" w:beforeAutospacing="1" w:after="100" w:afterAutospacing="1"/>
      <w:jc w:val="left"/>
      <w:outlineLvl w:val="2"/>
    </w:pPr>
    <w:rPr>
      <w:rFonts w:ascii="宋体" w:hAnsi="宋体"/>
      <w:b/>
      <w:bCs/>
      <w:kern w:val="0"/>
      <w:sz w:val="24"/>
    </w:rPr>
  </w:style>
  <w:style w:type="character" w:default="1" w:styleId="37">
    <w:name w:val="Default Paragraph Font"/>
    <w:semiHidden/>
    <w:uiPriority w:val="99"/>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5">
    <w:name w:val="List 3"/>
    <w:basedOn w:val="1"/>
    <w:uiPriority w:val="99"/>
    <w:pPr>
      <w:ind w:left="1260" w:hanging="420"/>
    </w:pPr>
    <w:rPr>
      <w:szCs w:val="20"/>
    </w:rPr>
  </w:style>
  <w:style w:type="paragraph" w:styleId="6">
    <w:name w:val="Normal Indent"/>
    <w:basedOn w:val="1"/>
    <w:link w:val="128"/>
    <w:uiPriority w:val="99"/>
    <w:pPr>
      <w:ind w:firstLine="420" w:firstLineChars="200"/>
    </w:pPr>
  </w:style>
  <w:style w:type="paragraph" w:styleId="7">
    <w:name w:val="caption"/>
    <w:basedOn w:val="1"/>
    <w:next w:val="1"/>
    <w:qFormat/>
    <w:locked/>
    <w:uiPriority w:val="99"/>
    <w:pPr>
      <w:spacing w:before="152" w:after="160"/>
    </w:pPr>
    <w:rPr>
      <w:rFonts w:ascii="Arial" w:hAnsi="Arial" w:eastAsia="黑体"/>
      <w:szCs w:val="20"/>
    </w:rPr>
  </w:style>
  <w:style w:type="paragraph" w:styleId="8">
    <w:name w:val="Document Map"/>
    <w:basedOn w:val="1"/>
    <w:link w:val="101"/>
    <w:semiHidden/>
    <w:uiPriority w:val="99"/>
    <w:pPr>
      <w:shd w:val="clear" w:color="auto" w:fill="000080"/>
    </w:pPr>
    <w:rPr>
      <w:kern w:val="0"/>
      <w:sz w:val="2"/>
      <w:szCs w:val="20"/>
    </w:rPr>
  </w:style>
  <w:style w:type="paragraph" w:styleId="9">
    <w:name w:val="annotation text"/>
    <w:basedOn w:val="1"/>
    <w:link w:val="106"/>
    <w:semiHidden/>
    <w:uiPriority w:val="99"/>
    <w:pPr>
      <w:jc w:val="left"/>
    </w:pPr>
    <w:rPr>
      <w:kern w:val="0"/>
      <w:sz w:val="24"/>
      <w:szCs w:val="20"/>
    </w:rPr>
  </w:style>
  <w:style w:type="paragraph" w:styleId="10">
    <w:name w:val="Body Text"/>
    <w:basedOn w:val="1"/>
    <w:link w:val="105"/>
    <w:uiPriority w:val="99"/>
    <w:pPr>
      <w:jc w:val="center"/>
    </w:pPr>
    <w:rPr>
      <w:kern w:val="0"/>
      <w:sz w:val="24"/>
      <w:szCs w:val="20"/>
    </w:rPr>
  </w:style>
  <w:style w:type="paragraph" w:styleId="11">
    <w:name w:val="Body Text Indent"/>
    <w:basedOn w:val="1"/>
    <w:link w:val="100"/>
    <w:uiPriority w:val="99"/>
    <w:pPr>
      <w:spacing w:after="120"/>
      <w:ind w:left="420"/>
    </w:pPr>
    <w:rPr>
      <w:szCs w:val="20"/>
    </w:rPr>
  </w:style>
  <w:style w:type="paragraph" w:styleId="12">
    <w:name w:val="List 2"/>
    <w:basedOn w:val="1"/>
    <w:locked/>
    <w:uiPriority w:val="99"/>
    <w:pPr>
      <w:ind w:left="100" w:leftChars="200" w:hanging="200" w:hangingChars="200"/>
    </w:pPr>
  </w:style>
  <w:style w:type="paragraph" w:styleId="13">
    <w:name w:val="List Continue"/>
    <w:basedOn w:val="1"/>
    <w:locked/>
    <w:uiPriority w:val="99"/>
    <w:pPr>
      <w:spacing w:after="120"/>
      <w:ind w:left="420" w:leftChars="200"/>
    </w:pPr>
  </w:style>
  <w:style w:type="paragraph" w:styleId="14">
    <w:name w:val="toc 3"/>
    <w:basedOn w:val="1"/>
    <w:next w:val="1"/>
    <w:uiPriority w:val="99"/>
    <w:pPr>
      <w:ind w:left="840" w:leftChars="400"/>
    </w:pPr>
  </w:style>
  <w:style w:type="paragraph" w:styleId="15">
    <w:name w:val="Plain Text"/>
    <w:basedOn w:val="1"/>
    <w:link w:val="110"/>
    <w:uiPriority w:val="99"/>
    <w:rPr>
      <w:rFonts w:ascii="宋体" w:hAnsi="Courier New"/>
      <w:szCs w:val="20"/>
    </w:rPr>
  </w:style>
  <w:style w:type="paragraph" w:styleId="16">
    <w:name w:val="Date"/>
    <w:basedOn w:val="1"/>
    <w:next w:val="1"/>
    <w:link w:val="104"/>
    <w:uiPriority w:val="99"/>
    <w:rPr>
      <w:sz w:val="24"/>
      <w:szCs w:val="20"/>
    </w:rPr>
  </w:style>
  <w:style w:type="paragraph" w:styleId="17">
    <w:name w:val="Body Text Indent 2"/>
    <w:basedOn w:val="1"/>
    <w:link w:val="130"/>
    <w:locked/>
    <w:uiPriority w:val="99"/>
    <w:pPr>
      <w:spacing w:line="540" w:lineRule="exact"/>
      <w:ind w:firstLine="480"/>
    </w:pPr>
    <w:rPr>
      <w:sz w:val="24"/>
      <w:szCs w:val="20"/>
    </w:rPr>
  </w:style>
  <w:style w:type="paragraph" w:styleId="18">
    <w:name w:val="Balloon Text"/>
    <w:basedOn w:val="1"/>
    <w:link w:val="131"/>
    <w:semiHidden/>
    <w:locked/>
    <w:uiPriority w:val="99"/>
    <w:rPr>
      <w:sz w:val="18"/>
      <w:szCs w:val="18"/>
    </w:rPr>
  </w:style>
  <w:style w:type="paragraph" w:styleId="19">
    <w:name w:val="footer"/>
    <w:basedOn w:val="1"/>
    <w:link w:val="112"/>
    <w:uiPriority w:val="99"/>
    <w:pPr>
      <w:tabs>
        <w:tab w:val="center" w:pos="4153"/>
        <w:tab w:val="right" w:pos="8306"/>
      </w:tabs>
      <w:snapToGrid w:val="0"/>
      <w:jc w:val="left"/>
    </w:pPr>
    <w:rPr>
      <w:kern w:val="0"/>
      <w:sz w:val="18"/>
      <w:szCs w:val="20"/>
    </w:rPr>
  </w:style>
  <w:style w:type="paragraph" w:styleId="20">
    <w:name w:val="header"/>
    <w:basedOn w:val="1"/>
    <w:link w:val="113"/>
    <w:uiPriority w:val="99"/>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uiPriority w:val="99"/>
  </w:style>
  <w:style w:type="paragraph" w:styleId="22">
    <w:name w:val="List Continue 4"/>
    <w:basedOn w:val="1"/>
    <w:uiPriority w:val="99"/>
    <w:pPr>
      <w:spacing w:after="120"/>
      <w:ind w:left="1680"/>
    </w:pPr>
    <w:rPr>
      <w:szCs w:val="20"/>
    </w:rPr>
  </w:style>
  <w:style w:type="paragraph" w:styleId="23">
    <w:name w:val="List 5"/>
    <w:basedOn w:val="1"/>
    <w:uiPriority w:val="99"/>
    <w:pPr>
      <w:ind w:left="2100" w:hanging="420"/>
    </w:pPr>
    <w:rPr>
      <w:szCs w:val="20"/>
    </w:rPr>
  </w:style>
  <w:style w:type="paragraph" w:styleId="24">
    <w:name w:val="Body Text Indent 3"/>
    <w:basedOn w:val="1"/>
    <w:link w:val="114"/>
    <w:uiPriority w:val="99"/>
    <w:pPr>
      <w:spacing w:line="580" w:lineRule="exact"/>
      <w:ind w:firstLine="447" w:firstLineChars="200"/>
    </w:pPr>
    <w:rPr>
      <w:kern w:val="0"/>
      <w:sz w:val="16"/>
      <w:szCs w:val="20"/>
    </w:rPr>
  </w:style>
  <w:style w:type="paragraph" w:styleId="25">
    <w:name w:val="toc 2"/>
    <w:basedOn w:val="1"/>
    <w:next w:val="1"/>
    <w:uiPriority w:val="99"/>
    <w:pPr>
      <w:ind w:left="420" w:leftChars="200"/>
    </w:pPr>
  </w:style>
  <w:style w:type="paragraph" w:styleId="26">
    <w:name w:val="Body Text 2"/>
    <w:basedOn w:val="1"/>
    <w:link w:val="126"/>
    <w:locked/>
    <w:uiPriority w:val="99"/>
    <w:pPr>
      <w:spacing w:after="120" w:line="480" w:lineRule="auto"/>
    </w:pPr>
  </w:style>
  <w:style w:type="paragraph" w:styleId="27">
    <w:name w:val="List 4"/>
    <w:basedOn w:val="1"/>
    <w:uiPriority w:val="99"/>
    <w:pPr>
      <w:ind w:left="1680" w:hanging="420"/>
    </w:pPr>
    <w:rPr>
      <w:szCs w:val="20"/>
    </w:rPr>
  </w:style>
  <w:style w:type="paragraph" w:styleId="28">
    <w:name w:val="List Continue 2"/>
    <w:basedOn w:val="1"/>
    <w:uiPriority w:val="99"/>
    <w:pPr>
      <w:spacing w:after="120"/>
      <w:ind w:left="840"/>
    </w:pPr>
    <w:rPr>
      <w:szCs w:val="20"/>
    </w:rPr>
  </w:style>
  <w:style w:type="paragraph" w:styleId="29">
    <w:name w:val="HTML Preformatted"/>
    <w:basedOn w:val="1"/>
    <w:link w:val="133"/>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0"/>
    </w:rPr>
  </w:style>
  <w:style w:type="paragraph" w:styleId="30">
    <w:name w:val="Normal (Web)"/>
    <w:basedOn w:val="1"/>
    <w:link w:val="127"/>
    <w:locked/>
    <w:uiPriority w:val="99"/>
    <w:pPr>
      <w:widowControl/>
      <w:spacing w:before="100" w:beforeAutospacing="1" w:after="100" w:afterAutospacing="1"/>
      <w:jc w:val="left"/>
    </w:pPr>
    <w:rPr>
      <w:rFonts w:ascii="宋体"/>
      <w:kern w:val="0"/>
      <w:sz w:val="20"/>
      <w:szCs w:val="20"/>
    </w:rPr>
  </w:style>
  <w:style w:type="paragraph" w:styleId="31">
    <w:name w:val="List Continue 3"/>
    <w:basedOn w:val="1"/>
    <w:uiPriority w:val="99"/>
    <w:pPr>
      <w:spacing w:after="120"/>
      <w:ind w:left="1260"/>
    </w:pPr>
    <w:rPr>
      <w:szCs w:val="20"/>
    </w:rPr>
  </w:style>
  <w:style w:type="paragraph" w:styleId="32">
    <w:name w:val="annotation subject"/>
    <w:basedOn w:val="9"/>
    <w:next w:val="9"/>
    <w:link w:val="134"/>
    <w:locked/>
    <w:uiPriority w:val="99"/>
    <w:rPr>
      <w:b/>
      <w:kern w:val="2"/>
    </w:rPr>
  </w:style>
  <w:style w:type="paragraph" w:styleId="33">
    <w:name w:val="Body Text First Indent"/>
    <w:basedOn w:val="10"/>
    <w:link w:val="135"/>
    <w:locked/>
    <w:uiPriority w:val="99"/>
    <w:pPr>
      <w:spacing w:after="120"/>
      <w:ind w:firstLine="420" w:firstLineChars="100"/>
      <w:jc w:val="both"/>
    </w:pPr>
    <w:rPr>
      <w:kern w:val="2"/>
    </w:rPr>
  </w:style>
  <w:style w:type="paragraph" w:styleId="34">
    <w:name w:val="Body Text First Indent 2"/>
    <w:basedOn w:val="11"/>
    <w:link w:val="136"/>
    <w:locked/>
    <w:uiPriority w:val="99"/>
    <w:pPr>
      <w:ind w:left="200" w:leftChars="200" w:firstLine="420" w:firstLineChars="200"/>
    </w:pPr>
    <w:rPr>
      <w:sz w:val="24"/>
    </w:rPr>
  </w:style>
  <w:style w:type="table" w:styleId="36">
    <w:name w:val="Table Grid"/>
    <w:basedOn w:val="35"/>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99"/>
    <w:rPr>
      <w:rFonts w:cs="Times New Roman"/>
      <w:b/>
    </w:rPr>
  </w:style>
  <w:style w:type="character" w:styleId="39">
    <w:name w:val="page number"/>
    <w:basedOn w:val="37"/>
    <w:uiPriority w:val="99"/>
    <w:rPr>
      <w:rFonts w:cs="Times New Roman"/>
    </w:rPr>
  </w:style>
  <w:style w:type="character" w:styleId="40">
    <w:name w:val="FollowedHyperlink"/>
    <w:basedOn w:val="37"/>
    <w:locked/>
    <w:uiPriority w:val="99"/>
    <w:rPr>
      <w:rFonts w:cs="Times New Roman"/>
      <w:color w:val="0000FF"/>
      <w:u w:val="single"/>
    </w:rPr>
  </w:style>
  <w:style w:type="character" w:styleId="41">
    <w:name w:val="Emphasis"/>
    <w:basedOn w:val="37"/>
    <w:qFormat/>
    <w:uiPriority w:val="99"/>
    <w:rPr>
      <w:rFonts w:cs="Times New Roman"/>
    </w:rPr>
  </w:style>
  <w:style w:type="character" w:styleId="42">
    <w:name w:val="HTML Definition"/>
    <w:basedOn w:val="37"/>
    <w:uiPriority w:val="99"/>
    <w:rPr>
      <w:rFonts w:cs="Times New Roman"/>
    </w:rPr>
  </w:style>
  <w:style w:type="character" w:styleId="43">
    <w:name w:val="HTML Typewriter"/>
    <w:basedOn w:val="37"/>
    <w:locked/>
    <w:uiPriority w:val="99"/>
    <w:rPr>
      <w:rFonts w:cs="Times New Roman"/>
    </w:rPr>
  </w:style>
  <w:style w:type="character" w:styleId="44">
    <w:name w:val="HTML Acronym"/>
    <w:basedOn w:val="37"/>
    <w:locked/>
    <w:uiPriority w:val="99"/>
    <w:rPr>
      <w:rFonts w:cs="Times New Roman"/>
    </w:rPr>
  </w:style>
  <w:style w:type="character" w:styleId="45">
    <w:name w:val="HTML Variable"/>
    <w:basedOn w:val="37"/>
    <w:uiPriority w:val="99"/>
    <w:rPr>
      <w:rFonts w:cs="Times New Roman"/>
    </w:rPr>
  </w:style>
  <w:style w:type="character" w:styleId="46">
    <w:name w:val="Hyperlink"/>
    <w:basedOn w:val="37"/>
    <w:uiPriority w:val="99"/>
    <w:rPr>
      <w:rFonts w:cs="Times New Roman"/>
      <w:color w:val="0000FF"/>
      <w:u w:val="single"/>
    </w:rPr>
  </w:style>
  <w:style w:type="character" w:styleId="47">
    <w:name w:val="HTML Code"/>
    <w:basedOn w:val="37"/>
    <w:uiPriority w:val="99"/>
    <w:rPr>
      <w:rFonts w:ascii="Courier New" w:hAnsi="Courier New" w:cs="Times New Roman"/>
      <w:sz w:val="20"/>
    </w:rPr>
  </w:style>
  <w:style w:type="character" w:styleId="48">
    <w:name w:val="annotation reference"/>
    <w:basedOn w:val="37"/>
    <w:uiPriority w:val="99"/>
    <w:rPr>
      <w:rFonts w:cs="Times New Roman"/>
      <w:sz w:val="21"/>
    </w:rPr>
  </w:style>
  <w:style w:type="character" w:styleId="49">
    <w:name w:val="HTML Cite"/>
    <w:basedOn w:val="37"/>
    <w:uiPriority w:val="99"/>
    <w:rPr>
      <w:rFonts w:cs="Times New Roman"/>
    </w:rPr>
  </w:style>
  <w:style w:type="character" w:customStyle="1" w:styleId="50">
    <w:name w:val="Heading 1 Char"/>
    <w:basedOn w:val="37"/>
    <w:link w:val="2"/>
    <w:locked/>
    <w:uiPriority w:val="99"/>
    <w:rPr>
      <w:b/>
      <w:kern w:val="44"/>
      <w:sz w:val="44"/>
    </w:rPr>
  </w:style>
  <w:style w:type="character" w:customStyle="1" w:styleId="51">
    <w:name w:val="Heading 2 Char"/>
    <w:basedOn w:val="37"/>
    <w:link w:val="3"/>
    <w:locked/>
    <w:uiPriority w:val="99"/>
    <w:rPr>
      <w:rFonts w:ascii="宋体" w:eastAsia="Times New Roman"/>
      <w:kern w:val="2"/>
      <w:sz w:val="28"/>
    </w:rPr>
  </w:style>
  <w:style w:type="character" w:customStyle="1" w:styleId="52">
    <w:name w:val="Heading 3 Char"/>
    <w:basedOn w:val="37"/>
    <w:link w:val="4"/>
    <w:locked/>
    <w:uiPriority w:val="99"/>
    <w:rPr>
      <w:rFonts w:ascii="宋体" w:eastAsia="宋体"/>
      <w:b/>
      <w:sz w:val="24"/>
    </w:rPr>
  </w:style>
  <w:style w:type="character" w:customStyle="1" w:styleId="53">
    <w:name w:val="Header Char"/>
    <w:link w:val="20"/>
    <w:semiHidden/>
    <w:locked/>
    <w:uiPriority w:val="99"/>
    <w:rPr>
      <w:sz w:val="18"/>
    </w:rPr>
  </w:style>
  <w:style w:type="character" w:customStyle="1" w:styleId="54">
    <w:name w:val="Body Text Indent 3 Char"/>
    <w:link w:val="24"/>
    <w:locked/>
    <w:uiPriority w:val="99"/>
    <w:rPr>
      <w:sz w:val="16"/>
    </w:rPr>
  </w:style>
  <w:style w:type="character" w:customStyle="1" w:styleId="55">
    <w:name w:val="Document Map Char"/>
    <w:link w:val="8"/>
    <w:semiHidden/>
    <w:locked/>
    <w:uiPriority w:val="99"/>
    <w:rPr>
      <w:sz w:val="2"/>
    </w:rPr>
  </w:style>
  <w:style w:type="character" w:customStyle="1" w:styleId="56">
    <w:name w:val="Comment Text Char"/>
    <w:locked/>
    <w:uiPriority w:val="99"/>
    <w:rPr>
      <w:sz w:val="24"/>
    </w:rPr>
  </w:style>
  <w:style w:type="character" w:customStyle="1" w:styleId="57">
    <w:name w:val="Comment Text Char1"/>
    <w:link w:val="9"/>
    <w:locked/>
    <w:uiPriority w:val="99"/>
    <w:rPr>
      <w:sz w:val="24"/>
    </w:rPr>
  </w:style>
  <w:style w:type="character" w:customStyle="1" w:styleId="58">
    <w:name w:val="Body Text Char"/>
    <w:link w:val="10"/>
    <w:semiHidden/>
    <w:locked/>
    <w:uiPriority w:val="99"/>
    <w:rPr>
      <w:sz w:val="24"/>
    </w:rPr>
  </w:style>
  <w:style w:type="character" w:customStyle="1" w:styleId="59">
    <w:name w:val="Body Text Indent Char1"/>
    <w:link w:val="11"/>
    <w:locked/>
    <w:uiPriority w:val="99"/>
    <w:rPr>
      <w:rFonts w:eastAsia="宋体"/>
      <w:kern w:val="2"/>
      <w:sz w:val="21"/>
      <w:lang w:val="en-US" w:eastAsia="zh-CN"/>
    </w:rPr>
  </w:style>
  <w:style w:type="character" w:customStyle="1" w:styleId="60">
    <w:name w:val="Plain Text Char"/>
    <w:link w:val="15"/>
    <w:locked/>
    <w:uiPriority w:val="99"/>
    <w:rPr>
      <w:rFonts w:ascii="宋体" w:hAnsi="Courier New" w:eastAsia="宋体"/>
      <w:kern w:val="2"/>
      <w:sz w:val="21"/>
      <w:lang w:val="en-US" w:eastAsia="zh-CN"/>
    </w:rPr>
  </w:style>
  <w:style w:type="character" w:customStyle="1" w:styleId="61">
    <w:name w:val="Date Char2"/>
    <w:link w:val="16"/>
    <w:locked/>
    <w:uiPriority w:val="99"/>
    <w:rPr>
      <w:rFonts w:eastAsia="宋体"/>
      <w:kern w:val="2"/>
      <w:sz w:val="24"/>
      <w:lang w:val="en-US" w:eastAsia="zh-CN"/>
    </w:rPr>
  </w:style>
  <w:style w:type="character" w:customStyle="1" w:styleId="62">
    <w:name w:val="Footer Char2"/>
    <w:link w:val="19"/>
    <w:locked/>
    <w:uiPriority w:val="99"/>
    <w:rPr>
      <w:sz w:val="18"/>
    </w:rPr>
  </w:style>
  <w:style w:type="character" w:customStyle="1" w:styleId="63">
    <w:name w:val="w702"/>
    <w:uiPriority w:val="99"/>
  </w:style>
  <w:style w:type="character" w:customStyle="1" w:styleId="64">
    <w:name w:val="i-meter"/>
    <w:uiPriority w:val="99"/>
  </w:style>
  <w:style w:type="character" w:customStyle="1" w:styleId="65">
    <w:name w:val="bg_16"/>
    <w:uiPriority w:val="99"/>
    <w:rPr>
      <w:shd w:val="clear" w:color="auto" w:fill="F0A49C"/>
    </w:rPr>
  </w:style>
  <w:style w:type="character" w:customStyle="1" w:styleId="66">
    <w:name w:val="i-room2"/>
    <w:uiPriority w:val="99"/>
  </w:style>
  <w:style w:type="character" w:customStyle="1" w:styleId="67">
    <w:name w:val="bg_24"/>
    <w:uiPriority w:val="99"/>
    <w:rPr>
      <w:shd w:val="clear" w:color="auto" w:fill="A2CEA4"/>
    </w:rPr>
  </w:style>
  <w:style w:type="character" w:customStyle="1" w:styleId="68">
    <w:name w:val="No Spacing Char"/>
    <w:link w:val="69"/>
    <w:locked/>
    <w:uiPriority w:val="99"/>
    <w:rPr>
      <w:kern w:val="2"/>
      <w:sz w:val="24"/>
      <w:lang w:val="en-US" w:eastAsia="zh-CN"/>
    </w:rPr>
  </w:style>
  <w:style w:type="paragraph" w:customStyle="1" w:styleId="69">
    <w:name w:val="No Spacing1"/>
    <w:link w:val="68"/>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70">
    <w:name w:val="No Spacing Char1"/>
    <w:link w:val="71"/>
    <w:locked/>
    <w:uiPriority w:val="99"/>
    <w:rPr>
      <w:kern w:val="2"/>
      <w:sz w:val="24"/>
      <w:lang w:val="en-US" w:eastAsia="zh-CN"/>
    </w:rPr>
  </w:style>
  <w:style w:type="paragraph" w:customStyle="1" w:styleId="71">
    <w:name w:val="无间隔1"/>
    <w:link w:val="70"/>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72">
    <w:name w:val="Body Text Indent Char2"/>
    <w:locked/>
    <w:uiPriority w:val="99"/>
    <w:rPr>
      <w:rFonts w:eastAsia="宋体"/>
      <w:kern w:val="2"/>
      <w:sz w:val="21"/>
      <w:lang w:val="en-US" w:eastAsia="zh-CN"/>
    </w:rPr>
  </w:style>
  <w:style w:type="character" w:customStyle="1" w:styleId="73">
    <w:name w:val="Body Text Indent Char"/>
    <w:locked/>
    <w:uiPriority w:val="99"/>
    <w:rPr>
      <w:rFonts w:eastAsia="宋体"/>
      <w:kern w:val="2"/>
      <w:sz w:val="21"/>
      <w:lang w:val="en-US" w:eastAsia="zh-CN"/>
    </w:rPr>
  </w:style>
  <w:style w:type="character" w:customStyle="1" w:styleId="74">
    <w:name w:val="a6"/>
    <w:uiPriority w:val="99"/>
    <w:rPr>
      <w:color w:val="8C8C8C"/>
      <w:sz w:val="18"/>
    </w:rPr>
  </w:style>
  <w:style w:type="character" w:customStyle="1" w:styleId="75">
    <w:name w:val="i-price17"/>
    <w:uiPriority w:val="99"/>
    <w:rPr>
      <w:color w:val="CC0000"/>
    </w:rPr>
  </w:style>
  <w:style w:type="character" w:customStyle="1" w:styleId="76">
    <w:name w:val="Char Char9"/>
    <w:semiHidden/>
    <w:locked/>
    <w:uiPriority w:val="99"/>
    <w:rPr>
      <w:sz w:val="20"/>
    </w:rPr>
  </w:style>
  <w:style w:type="character" w:customStyle="1" w:styleId="77">
    <w:name w:val="title"/>
    <w:uiPriority w:val="99"/>
  </w:style>
  <w:style w:type="character" w:customStyle="1" w:styleId="78">
    <w:name w:val="Footer Char1"/>
    <w:semiHidden/>
    <w:locked/>
    <w:uiPriority w:val="99"/>
    <w:rPr>
      <w:sz w:val="18"/>
    </w:rPr>
  </w:style>
  <w:style w:type="character" w:customStyle="1" w:styleId="79">
    <w:name w:val="i-room3"/>
    <w:uiPriority w:val="99"/>
  </w:style>
  <w:style w:type="character" w:customStyle="1" w:styleId="80">
    <w:name w:val="Header Char1"/>
    <w:semiHidden/>
    <w:locked/>
    <w:uiPriority w:val="99"/>
    <w:rPr>
      <w:sz w:val="18"/>
    </w:rPr>
  </w:style>
  <w:style w:type="character" w:customStyle="1" w:styleId="81">
    <w:name w:val="w60"/>
    <w:uiPriority w:val="99"/>
  </w:style>
  <w:style w:type="character" w:customStyle="1" w:styleId="82">
    <w:name w:val="Char Char11"/>
    <w:locked/>
    <w:uiPriority w:val="99"/>
    <w:rPr>
      <w:rFonts w:eastAsia="宋体"/>
      <w:kern w:val="2"/>
      <w:sz w:val="28"/>
      <w:lang w:val="en-US" w:eastAsia="zh-CN"/>
    </w:rPr>
  </w:style>
  <w:style w:type="character" w:customStyle="1" w:styleId="83">
    <w:name w:val="icurrent_code"/>
    <w:uiPriority w:val="99"/>
    <w:rPr>
      <w:color w:val="0077BB"/>
      <w:sz w:val="24"/>
    </w:rPr>
  </w:style>
  <w:style w:type="character" w:customStyle="1" w:styleId="84">
    <w:name w:val="样式7 Char"/>
    <w:link w:val="85"/>
    <w:locked/>
    <w:uiPriority w:val="99"/>
    <w:rPr>
      <w:rFonts w:ascii="仿宋_GB2312" w:eastAsia="仿宋_GB2312"/>
      <w:kern w:val="2"/>
      <w:sz w:val="28"/>
      <w:lang w:val="en-US" w:eastAsia="zh-CN"/>
    </w:rPr>
  </w:style>
  <w:style w:type="paragraph" w:customStyle="1" w:styleId="85">
    <w:name w:val="样式7"/>
    <w:basedOn w:val="1"/>
    <w:link w:val="84"/>
    <w:uiPriority w:val="99"/>
    <w:pPr>
      <w:spacing w:line="360" w:lineRule="auto"/>
      <w:ind w:firstLine="567"/>
    </w:pPr>
    <w:rPr>
      <w:rFonts w:ascii="仿宋_GB2312" w:eastAsia="仿宋_GB2312"/>
      <w:sz w:val="28"/>
      <w:szCs w:val="20"/>
    </w:rPr>
  </w:style>
  <w:style w:type="character" w:customStyle="1" w:styleId="86">
    <w:name w:val="i-price-l"/>
    <w:uiPriority w:val="99"/>
    <w:rPr>
      <w:color w:val="CC0000"/>
    </w:rPr>
  </w:style>
  <w:style w:type="character" w:customStyle="1" w:styleId="87">
    <w:name w:val="i-collect"/>
    <w:uiPriority w:val="99"/>
  </w:style>
  <w:style w:type="character" w:customStyle="1" w:styleId="88">
    <w:name w:val="i-area"/>
    <w:uiPriority w:val="99"/>
  </w:style>
  <w:style w:type="character" w:customStyle="1" w:styleId="89">
    <w:name w:val="apple-converted-space"/>
    <w:uiPriority w:val="99"/>
  </w:style>
  <w:style w:type="character" w:customStyle="1" w:styleId="90">
    <w:name w:val="正文文本缩进 Char1"/>
    <w:locked/>
    <w:uiPriority w:val="99"/>
    <w:rPr>
      <w:rFonts w:eastAsia="宋体"/>
      <w:kern w:val="2"/>
      <w:sz w:val="21"/>
      <w:lang w:val="en-US" w:eastAsia="zh-CN"/>
    </w:rPr>
  </w:style>
  <w:style w:type="character" w:customStyle="1" w:styleId="91">
    <w:name w:val="bg_3"/>
    <w:uiPriority w:val="99"/>
    <w:rPr>
      <w:shd w:val="clear" w:color="auto" w:fill="A2D8EF"/>
    </w:rPr>
  </w:style>
  <w:style w:type="character" w:customStyle="1" w:styleId="92">
    <w:name w:val="w601"/>
    <w:uiPriority w:val="99"/>
  </w:style>
  <w:style w:type="character" w:customStyle="1" w:styleId="93">
    <w:name w:val="i-report"/>
    <w:uiPriority w:val="99"/>
    <w:rPr>
      <w:bdr w:val="single" w:color="DDDDDD" w:sz="6" w:space="0"/>
    </w:rPr>
  </w:style>
  <w:style w:type="character" w:customStyle="1" w:styleId="94">
    <w:name w:val="i-price16"/>
    <w:uiPriority w:val="99"/>
    <w:rPr>
      <w:sz w:val="21"/>
    </w:rPr>
  </w:style>
  <w:style w:type="character" w:customStyle="1" w:styleId="95">
    <w:name w:val="inblock4"/>
    <w:uiPriority w:val="99"/>
  </w:style>
  <w:style w:type="character" w:customStyle="1" w:styleId="96">
    <w:name w:val="w120"/>
    <w:uiPriority w:val="99"/>
  </w:style>
  <w:style w:type="character" w:customStyle="1" w:styleId="97">
    <w:name w:val="w50"/>
    <w:uiPriority w:val="99"/>
  </w:style>
  <w:style w:type="character" w:customStyle="1" w:styleId="98">
    <w:name w:val="i-price-b"/>
    <w:uiPriority w:val="99"/>
    <w:rPr>
      <w:color w:val="CC0000"/>
    </w:rPr>
  </w:style>
  <w:style w:type="paragraph" w:customStyle="1" w:styleId="99">
    <w:name w:val="Char1"/>
    <w:basedOn w:val="1"/>
    <w:uiPriority w:val="99"/>
    <w:pPr>
      <w:tabs>
        <w:tab w:val="left" w:pos="3240"/>
      </w:tabs>
      <w:spacing w:line="300" w:lineRule="auto"/>
      <w:ind w:firstLine="200" w:firstLineChars="200"/>
    </w:pPr>
    <w:rPr>
      <w:rFonts w:ascii="Tahoma" w:hAnsi="Tahoma"/>
      <w:sz w:val="24"/>
      <w:szCs w:val="20"/>
    </w:rPr>
  </w:style>
  <w:style w:type="character" w:customStyle="1" w:styleId="100">
    <w:name w:val="Body Text Indent Char3"/>
    <w:basedOn w:val="37"/>
    <w:link w:val="11"/>
    <w:semiHidden/>
    <w:uiPriority w:val="99"/>
    <w:rPr>
      <w:szCs w:val="24"/>
    </w:rPr>
  </w:style>
  <w:style w:type="character" w:customStyle="1" w:styleId="101">
    <w:name w:val="Document Map Char1"/>
    <w:basedOn w:val="37"/>
    <w:link w:val="8"/>
    <w:semiHidden/>
    <w:locked/>
    <w:uiPriority w:val="99"/>
    <w:rPr>
      <w:sz w:val="2"/>
    </w:rPr>
  </w:style>
  <w:style w:type="paragraph" w:customStyle="1" w:styleId="102">
    <w:name w:val="样式6"/>
    <w:uiPriority w:val="99"/>
    <w:pPr>
      <w:widowControl w:val="0"/>
      <w:spacing w:line="360" w:lineRule="auto"/>
      <w:ind w:firstLine="567"/>
    </w:pPr>
    <w:rPr>
      <w:rFonts w:ascii="仿宋_GB2312" w:hAnsi="Times New Roman" w:eastAsia="Times New Roman" w:cs="Times New Roman"/>
      <w:kern w:val="0"/>
      <w:sz w:val="28"/>
      <w:szCs w:val="20"/>
      <w:lang w:val="en-US" w:eastAsia="zh-CN" w:bidi="ar-SA"/>
    </w:rPr>
  </w:style>
  <w:style w:type="paragraph" w:customStyle="1" w:styleId="103">
    <w:name w:val="p0"/>
    <w:basedOn w:val="1"/>
    <w:uiPriority w:val="99"/>
    <w:pPr>
      <w:widowControl/>
    </w:pPr>
    <w:rPr>
      <w:rFonts w:ascii="Calibri" w:hAnsi="Calibri" w:cs="Calibri"/>
      <w:kern w:val="0"/>
      <w:szCs w:val="21"/>
    </w:rPr>
  </w:style>
  <w:style w:type="character" w:customStyle="1" w:styleId="104">
    <w:name w:val="Date Char"/>
    <w:basedOn w:val="37"/>
    <w:link w:val="16"/>
    <w:locked/>
    <w:uiPriority w:val="99"/>
    <w:rPr>
      <w:rFonts w:eastAsia="Times New Roman"/>
      <w:kern w:val="2"/>
      <w:sz w:val="24"/>
      <w:lang w:val="en-US" w:eastAsia="zh-CN"/>
    </w:rPr>
  </w:style>
  <w:style w:type="character" w:customStyle="1" w:styleId="105">
    <w:name w:val="Body Text Char1"/>
    <w:basedOn w:val="37"/>
    <w:link w:val="10"/>
    <w:semiHidden/>
    <w:locked/>
    <w:uiPriority w:val="99"/>
    <w:rPr>
      <w:sz w:val="20"/>
    </w:rPr>
  </w:style>
  <w:style w:type="character" w:customStyle="1" w:styleId="106">
    <w:name w:val="Comment Text Char2"/>
    <w:basedOn w:val="37"/>
    <w:link w:val="9"/>
    <w:semiHidden/>
    <w:locked/>
    <w:uiPriority w:val="99"/>
    <w:rPr>
      <w:sz w:val="20"/>
    </w:rPr>
  </w:style>
  <w:style w:type="paragraph" w:customStyle="1" w:styleId="107">
    <w:name w:val="reader-word-layer reader-word-s82-62"/>
    <w:basedOn w:val="1"/>
    <w:uiPriority w:val="99"/>
    <w:pPr>
      <w:widowControl/>
      <w:spacing w:before="100" w:beforeAutospacing="1" w:after="100" w:afterAutospacing="1"/>
      <w:jc w:val="left"/>
    </w:pPr>
    <w:rPr>
      <w:rFonts w:ascii="宋体" w:hAnsi="宋体" w:cs="宋体"/>
      <w:kern w:val="0"/>
      <w:sz w:val="24"/>
    </w:rPr>
  </w:style>
  <w:style w:type="paragraph" w:customStyle="1" w:styleId="108">
    <w:name w:val="reader-word-layer reader-word-s82-39"/>
    <w:basedOn w:val="1"/>
    <w:uiPriority w:val="99"/>
    <w:pPr>
      <w:widowControl/>
      <w:spacing w:before="100" w:beforeAutospacing="1" w:after="100" w:afterAutospacing="1"/>
      <w:jc w:val="left"/>
    </w:pPr>
    <w:rPr>
      <w:rFonts w:ascii="宋体" w:hAnsi="宋体" w:cs="宋体"/>
      <w:kern w:val="0"/>
      <w:sz w:val="24"/>
    </w:rPr>
  </w:style>
  <w:style w:type="paragraph" w:customStyle="1" w:styleId="109">
    <w:name w:val="reader-word-layer reader-word-s82-12 reader-word-s82-17"/>
    <w:basedOn w:val="1"/>
    <w:uiPriority w:val="99"/>
    <w:pPr>
      <w:widowControl/>
      <w:spacing w:before="100" w:beforeAutospacing="1" w:after="100" w:afterAutospacing="1"/>
      <w:jc w:val="left"/>
    </w:pPr>
    <w:rPr>
      <w:rFonts w:ascii="宋体" w:hAnsi="宋体" w:cs="宋体"/>
      <w:kern w:val="0"/>
      <w:sz w:val="24"/>
    </w:rPr>
  </w:style>
  <w:style w:type="character" w:customStyle="1" w:styleId="110">
    <w:name w:val="Plain Text Char1"/>
    <w:basedOn w:val="37"/>
    <w:link w:val="15"/>
    <w:semiHidden/>
    <w:locked/>
    <w:uiPriority w:val="99"/>
    <w:rPr>
      <w:rFonts w:ascii="宋体" w:hAnsi="Courier New"/>
      <w:sz w:val="21"/>
    </w:rPr>
  </w:style>
  <w:style w:type="character" w:customStyle="1" w:styleId="111">
    <w:name w:val="Balloon Text Char"/>
    <w:basedOn w:val="37"/>
    <w:link w:val="18"/>
    <w:locked/>
    <w:uiPriority w:val="99"/>
    <w:rPr>
      <w:kern w:val="2"/>
      <w:sz w:val="18"/>
    </w:rPr>
  </w:style>
  <w:style w:type="character" w:customStyle="1" w:styleId="112">
    <w:name w:val="Footer Char"/>
    <w:basedOn w:val="37"/>
    <w:link w:val="19"/>
    <w:locked/>
    <w:uiPriority w:val="99"/>
    <w:rPr>
      <w:rFonts w:eastAsia="Times New Roman"/>
      <w:kern w:val="2"/>
      <w:sz w:val="18"/>
      <w:lang w:val="en-US" w:eastAsia="zh-CN"/>
    </w:rPr>
  </w:style>
  <w:style w:type="character" w:customStyle="1" w:styleId="113">
    <w:name w:val="Header Char2"/>
    <w:basedOn w:val="37"/>
    <w:link w:val="20"/>
    <w:semiHidden/>
    <w:locked/>
    <w:uiPriority w:val="99"/>
    <w:rPr>
      <w:rFonts w:ascii="FangSong_GB2312falt" w:eastAsia="Times New Roman" w:cs="Times New Roman"/>
      <w:sz w:val="18"/>
      <w:szCs w:val="18"/>
    </w:rPr>
  </w:style>
  <w:style w:type="character" w:customStyle="1" w:styleId="114">
    <w:name w:val="Body Text Indent 3 Char1"/>
    <w:basedOn w:val="37"/>
    <w:link w:val="24"/>
    <w:semiHidden/>
    <w:locked/>
    <w:uiPriority w:val="99"/>
    <w:rPr>
      <w:sz w:val="16"/>
    </w:rPr>
  </w:style>
  <w:style w:type="paragraph" w:customStyle="1" w:styleId="115">
    <w:name w:val="Char Char Char Char Char Char Char Char Char"/>
    <w:basedOn w:val="1"/>
    <w:uiPriority w:val="99"/>
    <w:rPr>
      <w:rFonts w:ascii="Tahoma" w:hAnsi="Tahoma"/>
      <w:sz w:val="24"/>
      <w:szCs w:val="20"/>
    </w:rPr>
  </w:style>
  <w:style w:type="paragraph" w:customStyle="1" w:styleId="116">
    <w:name w:val="Char Char Char Char Char Char Char Char Char Char Char Char Char Char Char"/>
    <w:basedOn w:val="1"/>
    <w:uiPriority w:val="99"/>
    <w:rPr>
      <w:rFonts w:ascii="Tahoma" w:hAnsi="Tahoma"/>
      <w:sz w:val="24"/>
      <w:szCs w:val="20"/>
    </w:rPr>
  </w:style>
  <w:style w:type="paragraph" w:customStyle="1" w:styleId="117">
    <w:name w:val="默认段落字体 Para Char Char Char Char Char Char Char"/>
    <w:basedOn w:val="1"/>
    <w:uiPriority w:val="99"/>
    <w:rPr>
      <w:rFonts w:ascii="Tahoma" w:hAnsi="Tahoma"/>
      <w:sz w:val="24"/>
      <w:szCs w:val="20"/>
    </w:rPr>
  </w:style>
  <w:style w:type="paragraph" w:customStyle="1" w:styleId="118">
    <w:name w:val="Char"/>
    <w:basedOn w:val="8"/>
    <w:uiPriority w:val="99"/>
    <w:rPr>
      <w:rFonts w:ascii="Tahoma" w:hAnsi="Tahoma"/>
      <w:sz w:val="24"/>
    </w:rPr>
  </w:style>
  <w:style w:type="paragraph" w:customStyle="1" w:styleId="119">
    <w:name w:val="Char4"/>
    <w:basedOn w:val="1"/>
    <w:uiPriority w:val="99"/>
    <w:rPr>
      <w:rFonts w:ascii="Tahoma" w:hAnsi="Tahoma"/>
      <w:sz w:val="24"/>
      <w:szCs w:val="20"/>
    </w:rPr>
  </w:style>
  <w:style w:type="paragraph" w:customStyle="1" w:styleId="120">
    <w:name w:val="Default"/>
    <w:uiPriority w:val="99"/>
    <w:pPr>
      <w:widowControl w:val="0"/>
      <w:autoSpaceDE w:val="0"/>
      <w:autoSpaceDN w:val="0"/>
      <w:adjustRightInd w:val="0"/>
    </w:pPr>
    <w:rPr>
      <w:rFonts w:ascii="Calibri" w:hAnsi="Calibri" w:eastAsia="宋体" w:cs="宋体"/>
      <w:color w:val="000000"/>
      <w:kern w:val="0"/>
      <w:sz w:val="24"/>
      <w:szCs w:val="22"/>
      <w:lang w:val="en-US" w:eastAsia="zh-CN" w:bidi="ar-SA"/>
    </w:rPr>
  </w:style>
  <w:style w:type="paragraph" w:customStyle="1" w:styleId="121">
    <w:name w:val="Char41"/>
    <w:basedOn w:val="1"/>
    <w:uiPriority w:val="99"/>
    <w:rPr>
      <w:rFonts w:ascii="Tahoma" w:hAnsi="Tahoma"/>
      <w:sz w:val="24"/>
      <w:szCs w:val="20"/>
    </w:rPr>
  </w:style>
  <w:style w:type="paragraph" w:customStyle="1" w:styleId="122">
    <w:name w:val="List Paragraph1"/>
    <w:basedOn w:val="1"/>
    <w:uiPriority w:val="99"/>
    <w:pPr>
      <w:ind w:firstLine="420" w:firstLineChars="200"/>
    </w:pPr>
  </w:style>
  <w:style w:type="paragraph" w:customStyle="1" w:styleId="123">
    <w:name w:val="列出段落1"/>
    <w:basedOn w:val="1"/>
    <w:uiPriority w:val="99"/>
    <w:pPr>
      <w:ind w:firstLine="420" w:firstLineChars="200"/>
    </w:pPr>
  </w:style>
  <w:style w:type="character" w:customStyle="1" w:styleId="124">
    <w:name w:val="con"/>
    <w:uiPriority w:val="99"/>
  </w:style>
  <w:style w:type="character" w:customStyle="1" w:styleId="125">
    <w:name w:val="NormalCharacter"/>
    <w:semiHidden/>
    <w:uiPriority w:val="99"/>
  </w:style>
  <w:style w:type="character" w:customStyle="1" w:styleId="126">
    <w:name w:val="Body Text 2 Char"/>
    <w:basedOn w:val="37"/>
    <w:link w:val="26"/>
    <w:locked/>
    <w:uiPriority w:val="99"/>
    <w:rPr>
      <w:kern w:val="2"/>
      <w:sz w:val="24"/>
    </w:rPr>
  </w:style>
  <w:style w:type="character" w:customStyle="1" w:styleId="127">
    <w:name w:val="Normal (Web) Char"/>
    <w:link w:val="30"/>
    <w:locked/>
    <w:uiPriority w:val="99"/>
    <w:rPr>
      <w:rFonts w:ascii="宋体"/>
    </w:rPr>
  </w:style>
  <w:style w:type="character" w:customStyle="1" w:styleId="128">
    <w:name w:val="Normal Indent Char"/>
    <w:link w:val="6"/>
    <w:locked/>
    <w:uiPriority w:val="99"/>
    <w:rPr>
      <w:kern w:val="2"/>
      <w:sz w:val="24"/>
    </w:rPr>
  </w:style>
  <w:style w:type="character" w:customStyle="1" w:styleId="129">
    <w:name w:val="Body Text Indent 2 Char"/>
    <w:basedOn w:val="37"/>
    <w:link w:val="17"/>
    <w:locked/>
    <w:uiPriority w:val="99"/>
    <w:rPr>
      <w:rFonts w:ascii="宋体" w:eastAsia="宋体"/>
      <w:kern w:val="2"/>
      <w:sz w:val="24"/>
      <w:lang w:val="en-US" w:eastAsia="zh-CN"/>
    </w:rPr>
  </w:style>
  <w:style w:type="character" w:customStyle="1" w:styleId="130">
    <w:name w:val="Body Text Indent 2 Char1"/>
    <w:link w:val="17"/>
    <w:locked/>
    <w:uiPriority w:val="99"/>
    <w:rPr>
      <w:rFonts w:eastAsia="Times New Roman"/>
      <w:kern w:val="2"/>
      <w:sz w:val="24"/>
    </w:rPr>
  </w:style>
  <w:style w:type="character" w:customStyle="1" w:styleId="131">
    <w:name w:val="Balloon Text Char1"/>
    <w:link w:val="18"/>
    <w:locked/>
    <w:uiPriority w:val="99"/>
    <w:rPr>
      <w:kern w:val="2"/>
      <w:sz w:val="18"/>
    </w:rPr>
  </w:style>
  <w:style w:type="character" w:customStyle="1" w:styleId="132">
    <w:name w:val="HTML Preformatted Char"/>
    <w:basedOn w:val="37"/>
    <w:link w:val="29"/>
    <w:locked/>
    <w:uiPriority w:val="99"/>
    <w:rPr>
      <w:rFonts w:ascii="宋体" w:eastAsia="Times New Roman"/>
      <w:kern w:val="0"/>
      <w:sz w:val="24"/>
    </w:rPr>
  </w:style>
  <w:style w:type="character" w:customStyle="1" w:styleId="133">
    <w:name w:val="HTML Preformatted Char1"/>
    <w:link w:val="29"/>
    <w:locked/>
    <w:uiPriority w:val="99"/>
    <w:rPr>
      <w:rFonts w:ascii="Arial" w:hAnsi="Arial"/>
      <w:sz w:val="24"/>
    </w:rPr>
  </w:style>
  <w:style w:type="character" w:customStyle="1" w:styleId="134">
    <w:name w:val="Comment Subject Char"/>
    <w:basedOn w:val="57"/>
    <w:link w:val="32"/>
    <w:locked/>
    <w:uiPriority w:val="99"/>
    <w:rPr>
      <w:rFonts w:eastAsia="Times New Roman"/>
      <w:b/>
      <w:kern w:val="2"/>
    </w:rPr>
  </w:style>
  <w:style w:type="character" w:customStyle="1" w:styleId="135">
    <w:name w:val="Body Text First Indent Char"/>
    <w:basedOn w:val="58"/>
    <w:link w:val="33"/>
    <w:locked/>
    <w:uiPriority w:val="99"/>
    <w:rPr>
      <w:rFonts w:eastAsia="Times New Roman"/>
      <w:kern w:val="2"/>
    </w:rPr>
  </w:style>
  <w:style w:type="character" w:customStyle="1" w:styleId="136">
    <w:name w:val="Body Text First Indent 2 Char"/>
    <w:basedOn w:val="59"/>
    <w:link w:val="34"/>
    <w:locked/>
    <w:uiPriority w:val="99"/>
    <w:rPr>
      <w:rFonts w:eastAsia="Times New Roman"/>
      <w:sz w:val="24"/>
    </w:rPr>
  </w:style>
  <w:style w:type="character" w:customStyle="1" w:styleId="137">
    <w:name w:val="tit21"/>
    <w:uiPriority w:val="99"/>
    <w:rPr>
      <w:sz w:val="30"/>
    </w:rPr>
  </w:style>
  <w:style w:type="character" w:customStyle="1" w:styleId="138">
    <w:name w:val="z-窗体顶端 Char"/>
    <w:link w:val="139"/>
    <w:locked/>
    <w:uiPriority w:val="99"/>
    <w:rPr>
      <w:rFonts w:ascii="Arial" w:hAnsi="Arial"/>
      <w:vanish/>
      <w:sz w:val="16"/>
    </w:rPr>
  </w:style>
  <w:style w:type="paragraph" w:customStyle="1" w:styleId="139">
    <w:name w:val="z-窗体顶端1"/>
    <w:basedOn w:val="1"/>
    <w:next w:val="1"/>
    <w:link w:val="138"/>
    <w:locked/>
    <w:uiPriority w:val="99"/>
    <w:pPr>
      <w:pBdr>
        <w:bottom w:val="single" w:color="auto" w:sz="6" w:space="1"/>
      </w:pBdr>
      <w:jc w:val="center"/>
    </w:pPr>
    <w:rPr>
      <w:rFonts w:ascii="Arial" w:hAnsi="Arial"/>
      <w:vanish/>
      <w:kern w:val="0"/>
      <w:sz w:val="16"/>
      <w:szCs w:val="16"/>
    </w:rPr>
  </w:style>
  <w:style w:type="character" w:customStyle="1" w:styleId="140">
    <w:name w:val="lm_b"/>
    <w:uiPriority w:val="99"/>
    <w:rPr>
      <w:color w:val="000000"/>
      <w:sz w:val="24"/>
      <w:bdr w:val="single" w:color="D4D4D4" w:sz="6" w:space="0"/>
    </w:rPr>
  </w:style>
  <w:style w:type="character" w:customStyle="1" w:styleId="141">
    <w:name w:val="hd-icon3"/>
    <w:uiPriority w:val="99"/>
  </w:style>
  <w:style w:type="character" w:customStyle="1" w:styleId="142">
    <w:name w:val="zz1"/>
    <w:uiPriority w:val="99"/>
  </w:style>
  <w:style w:type="character" w:customStyle="1" w:styleId="143">
    <w:name w:val="b1"/>
    <w:uiPriority w:val="99"/>
    <w:rPr>
      <w:color w:val="FF0000"/>
    </w:rPr>
  </w:style>
  <w:style w:type="character" w:customStyle="1" w:styleId="144">
    <w:name w:val="more4"/>
    <w:uiPriority w:val="99"/>
  </w:style>
  <w:style w:type="character" w:customStyle="1" w:styleId="145">
    <w:name w:val="z-窗体底端 Char1"/>
    <w:link w:val="146"/>
    <w:locked/>
    <w:uiPriority w:val="99"/>
    <w:rPr>
      <w:rFonts w:ascii="Arial" w:hAnsi="Arial"/>
      <w:vanish/>
      <w:sz w:val="16"/>
    </w:rPr>
  </w:style>
  <w:style w:type="paragraph" w:customStyle="1" w:styleId="146">
    <w:name w:val="z-窗体底端1"/>
    <w:basedOn w:val="1"/>
    <w:next w:val="1"/>
    <w:link w:val="145"/>
    <w:locked/>
    <w:uiPriority w:val="99"/>
    <w:pPr>
      <w:pBdr>
        <w:top w:val="single" w:color="auto" w:sz="6" w:space="1"/>
      </w:pBdr>
      <w:jc w:val="center"/>
    </w:pPr>
    <w:rPr>
      <w:rFonts w:ascii="Arial" w:hAnsi="Arial"/>
      <w:vanish/>
      <w:kern w:val="0"/>
      <w:sz w:val="16"/>
      <w:szCs w:val="16"/>
    </w:rPr>
  </w:style>
  <w:style w:type="character" w:customStyle="1" w:styleId="147">
    <w:name w:val="b"/>
    <w:uiPriority w:val="99"/>
  </w:style>
  <w:style w:type="character" w:customStyle="1" w:styleId="148">
    <w:name w:val="sel"/>
    <w:uiPriority w:val="99"/>
  </w:style>
  <w:style w:type="character" w:customStyle="1" w:styleId="149">
    <w:name w:val="icon-bsfw1"/>
    <w:uiPriority w:val="99"/>
  </w:style>
  <w:style w:type="character" w:customStyle="1" w:styleId="150">
    <w:name w:val="con1"/>
    <w:uiPriority w:val="99"/>
  </w:style>
  <w:style w:type="character" w:customStyle="1" w:styleId="151">
    <w:name w:val="disabled"/>
    <w:uiPriority w:val="99"/>
    <w:rPr>
      <w:color w:val="DDDDDD"/>
      <w:bdr w:val="single" w:color="DDDDDD" w:sz="6" w:space="0"/>
    </w:rPr>
  </w:style>
  <w:style w:type="character" w:customStyle="1" w:styleId="152">
    <w:name w:val="ft"/>
    <w:uiPriority w:val="99"/>
    <w:rPr>
      <w:color w:val="606060"/>
      <w:sz w:val="18"/>
    </w:rPr>
  </w:style>
  <w:style w:type="character" w:customStyle="1" w:styleId="153">
    <w:name w:val="tit2"/>
    <w:uiPriority w:val="99"/>
    <w:rPr>
      <w:color w:val="BD090C"/>
      <w:sz w:val="30"/>
    </w:rPr>
  </w:style>
  <w:style w:type="character" w:customStyle="1" w:styleId="154">
    <w:name w:val="tip"/>
    <w:uiPriority w:val="99"/>
    <w:rPr>
      <w:color w:val="FF2C2C"/>
      <w:sz w:val="19"/>
    </w:rPr>
  </w:style>
  <w:style w:type="character" w:customStyle="1" w:styleId="155">
    <w:name w:val="content"/>
    <w:uiPriority w:val="99"/>
  </w:style>
  <w:style w:type="character" w:customStyle="1" w:styleId="156">
    <w:name w:val="c"/>
    <w:uiPriority w:val="99"/>
    <w:rPr>
      <w:b/>
      <w:color w:val="FFFFFF"/>
      <w:sz w:val="21"/>
    </w:rPr>
  </w:style>
  <w:style w:type="character" w:customStyle="1" w:styleId="157">
    <w:name w:val="估价正文 Char"/>
    <w:link w:val="158"/>
    <w:locked/>
    <w:uiPriority w:val="99"/>
    <w:rPr>
      <w:rFonts w:eastAsia="Times New Roman"/>
      <w:sz w:val="24"/>
    </w:rPr>
  </w:style>
  <w:style w:type="paragraph" w:customStyle="1" w:styleId="158">
    <w:name w:val="估价正文"/>
    <w:basedOn w:val="1"/>
    <w:link w:val="157"/>
    <w:uiPriority w:val="99"/>
    <w:pPr>
      <w:spacing w:line="480" w:lineRule="exact"/>
      <w:ind w:firstLine="480" w:firstLineChars="200"/>
      <w:jc w:val="left"/>
    </w:pPr>
    <w:rPr>
      <w:kern w:val="0"/>
      <w:sz w:val="24"/>
      <w:szCs w:val="20"/>
    </w:rPr>
  </w:style>
  <w:style w:type="character" w:customStyle="1" w:styleId="159">
    <w:name w:val="hd-icon1"/>
    <w:uiPriority w:val="99"/>
  </w:style>
  <w:style w:type="character" w:customStyle="1" w:styleId="160">
    <w:name w:val="估价标题3 Char"/>
    <w:link w:val="161"/>
    <w:locked/>
    <w:uiPriority w:val="99"/>
    <w:rPr>
      <w:b/>
      <w:kern w:val="2"/>
      <w:sz w:val="24"/>
    </w:rPr>
  </w:style>
  <w:style w:type="paragraph" w:customStyle="1" w:styleId="161">
    <w:name w:val="估价标题3"/>
    <w:basedOn w:val="1"/>
    <w:link w:val="160"/>
    <w:uiPriority w:val="99"/>
    <w:pPr>
      <w:spacing w:line="480" w:lineRule="atLeast"/>
      <w:ind w:firstLine="482" w:firstLineChars="200"/>
    </w:pPr>
    <w:rPr>
      <w:b/>
      <w:sz w:val="24"/>
      <w:szCs w:val="20"/>
    </w:rPr>
  </w:style>
  <w:style w:type="character" w:customStyle="1" w:styleId="162">
    <w:name w:val="font31"/>
    <w:uiPriority w:val="99"/>
    <w:rPr>
      <w:rFonts w:ascii="宋体" w:hAnsi="宋体" w:eastAsia="宋体"/>
      <w:color w:val="000000"/>
      <w:sz w:val="20"/>
      <w:u w:val="none"/>
    </w:rPr>
  </w:style>
  <w:style w:type="character" w:customStyle="1" w:styleId="163">
    <w:name w:val="Char Char4"/>
    <w:uiPriority w:val="99"/>
    <w:rPr>
      <w:rFonts w:eastAsia="Times New Roman"/>
      <w:kern w:val="2"/>
      <w:sz w:val="18"/>
      <w:lang w:val="en-US" w:eastAsia="zh-CN"/>
    </w:rPr>
  </w:style>
  <w:style w:type="character" w:customStyle="1" w:styleId="164">
    <w:name w:val="gg"/>
    <w:uiPriority w:val="99"/>
    <w:rPr>
      <w:b/>
      <w:color w:val="000000"/>
      <w:sz w:val="21"/>
    </w:rPr>
  </w:style>
  <w:style w:type="character" w:customStyle="1" w:styleId="165">
    <w:name w:val="a2"/>
    <w:uiPriority w:val="99"/>
  </w:style>
  <w:style w:type="character" w:customStyle="1" w:styleId="166">
    <w:name w:val="dc2"/>
    <w:uiPriority w:val="99"/>
    <w:rPr>
      <w:color w:val="FFFFFF"/>
      <w:sz w:val="21"/>
    </w:rPr>
  </w:style>
  <w:style w:type="character" w:customStyle="1" w:styleId="167">
    <w:name w:val="Body Text First Indent 2 Char1"/>
    <w:semiHidden/>
    <w:locked/>
    <w:uiPriority w:val="99"/>
    <w:rPr>
      <w:rFonts w:eastAsia="Times New Roman"/>
      <w:kern w:val="2"/>
      <w:sz w:val="20"/>
      <w:lang w:val="en-US" w:eastAsia="zh-CN"/>
    </w:rPr>
  </w:style>
  <w:style w:type="character" w:customStyle="1" w:styleId="168">
    <w:name w:val="headline-content2"/>
    <w:uiPriority w:val="99"/>
  </w:style>
  <w:style w:type="character" w:customStyle="1" w:styleId="169">
    <w:name w:val="c1"/>
    <w:uiPriority w:val="99"/>
    <w:rPr>
      <w:b/>
      <w:color w:val="FFFFFF"/>
      <w:sz w:val="21"/>
    </w:rPr>
  </w:style>
  <w:style w:type="character" w:customStyle="1" w:styleId="170">
    <w:name w:val="Char Char"/>
    <w:semiHidden/>
    <w:locked/>
    <w:uiPriority w:val="99"/>
    <w:rPr>
      <w:sz w:val="24"/>
      <w:lang w:val="en-US" w:eastAsia="zh-CN"/>
    </w:rPr>
  </w:style>
  <w:style w:type="character" w:customStyle="1" w:styleId="171">
    <w:name w:val="Date Char1"/>
    <w:semiHidden/>
    <w:locked/>
    <w:uiPriority w:val="99"/>
    <w:rPr>
      <w:sz w:val="24"/>
    </w:rPr>
  </w:style>
  <w:style w:type="character" w:customStyle="1" w:styleId="172">
    <w:name w:val="description"/>
    <w:uiPriority w:val="99"/>
  </w:style>
  <w:style w:type="character" w:customStyle="1" w:styleId="173">
    <w:name w:val="dc"/>
    <w:qFormat/>
    <w:uiPriority w:val="99"/>
    <w:rPr>
      <w:color w:val="FFFFFF"/>
      <w:sz w:val="21"/>
    </w:rPr>
  </w:style>
  <w:style w:type="character" w:customStyle="1" w:styleId="174">
    <w:name w:val="Comment Subject Char1"/>
    <w:semiHidden/>
    <w:locked/>
    <w:uiPriority w:val="99"/>
    <w:rPr>
      <w:rFonts w:eastAsia="Times New Roman"/>
      <w:b/>
      <w:kern w:val="2"/>
      <w:sz w:val="20"/>
      <w:lang w:val="en-US" w:eastAsia="zh-CN"/>
    </w:rPr>
  </w:style>
  <w:style w:type="character" w:customStyle="1" w:styleId="175">
    <w:name w:val="zhehang"/>
    <w:uiPriority w:val="99"/>
  </w:style>
  <w:style w:type="character" w:customStyle="1" w:styleId="176">
    <w:name w:val="icon-bsfw"/>
    <w:uiPriority w:val="99"/>
  </w:style>
  <w:style w:type="character" w:customStyle="1" w:styleId="177">
    <w:name w:val="n_on"/>
    <w:uiPriority w:val="99"/>
    <w:rPr>
      <w:b/>
      <w:color w:val="FFFFFF"/>
      <w:shd w:val="clear" w:color="auto" w:fill="B90202"/>
    </w:rPr>
  </w:style>
  <w:style w:type="character" w:customStyle="1" w:styleId="178">
    <w:name w:val="tex"/>
    <w:uiPriority w:val="99"/>
    <w:rPr>
      <w:color w:val="CC0407"/>
      <w:sz w:val="22"/>
    </w:rPr>
  </w:style>
  <w:style w:type="character" w:customStyle="1" w:styleId="179">
    <w:name w:val="more"/>
    <w:uiPriority w:val="99"/>
  </w:style>
  <w:style w:type="character" w:customStyle="1" w:styleId="180">
    <w:name w:val="tit11"/>
    <w:uiPriority w:val="99"/>
    <w:rPr>
      <w:b/>
      <w:color w:val="333333"/>
      <w:sz w:val="30"/>
    </w:rPr>
  </w:style>
  <w:style w:type="character" w:customStyle="1" w:styleId="181">
    <w:name w:val="font121"/>
    <w:uiPriority w:val="99"/>
    <w:rPr>
      <w:rFonts w:ascii="宋体" w:hAnsi="宋体" w:eastAsia="宋体"/>
      <w:color w:val="000000"/>
      <w:sz w:val="18"/>
      <w:u w:val="none"/>
    </w:rPr>
  </w:style>
  <w:style w:type="character" w:customStyle="1" w:styleId="182">
    <w:name w:val="tit10"/>
    <w:uiPriority w:val="99"/>
  </w:style>
  <w:style w:type="character" w:customStyle="1" w:styleId="183">
    <w:name w:val="c2"/>
    <w:uiPriority w:val="99"/>
    <w:rPr>
      <w:color w:val="8C8C8C"/>
      <w:sz w:val="18"/>
    </w:rPr>
  </w:style>
  <w:style w:type="character" w:customStyle="1" w:styleId="184">
    <w:name w:val="tit3"/>
    <w:uiPriority w:val="99"/>
    <w:rPr>
      <w:sz w:val="24"/>
    </w:rPr>
  </w:style>
  <w:style w:type="character" w:customStyle="1" w:styleId="185">
    <w:name w:val="Body Text First Indent Char1"/>
    <w:semiHidden/>
    <w:locked/>
    <w:uiPriority w:val="99"/>
    <w:rPr>
      <w:rFonts w:eastAsia="Times New Roman"/>
      <w:kern w:val="2"/>
      <w:sz w:val="20"/>
      <w:lang w:val="en-US" w:eastAsia="zh-CN"/>
    </w:rPr>
  </w:style>
  <w:style w:type="character" w:customStyle="1" w:styleId="186">
    <w:name w:val="qz"/>
    <w:uiPriority w:val="99"/>
    <w:rPr>
      <w:color w:val="FFFFFF"/>
      <w:sz w:val="21"/>
      <w:shd w:val="clear" w:color="auto" w:fill="E1000E"/>
    </w:rPr>
  </w:style>
  <w:style w:type="character" w:customStyle="1" w:styleId="187">
    <w:name w:val="yj"/>
    <w:uiPriority w:val="99"/>
    <w:rPr>
      <w:color w:val="FFFFFF"/>
      <w:sz w:val="21"/>
    </w:rPr>
  </w:style>
  <w:style w:type="character" w:customStyle="1" w:styleId="188">
    <w:name w:val="sp"/>
    <w:uiPriority w:val="99"/>
    <w:rPr>
      <w:color w:val="5F5F5F"/>
      <w:sz w:val="24"/>
    </w:rPr>
  </w:style>
  <w:style w:type="character" w:customStyle="1" w:styleId="189">
    <w:name w:val="sta"/>
    <w:uiPriority w:val="99"/>
    <w:rPr>
      <w:color w:val="F04003"/>
      <w:sz w:val="21"/>
    </w:rPr>
  </w:style>
  <w:style w:type="character" w:customStyle="1" w:styleId="190">
    <w:name w:val="b2"/>
    <w:uiPriority w:val="99"/>
    <w:rPr>
      <w:shd w:val="clear" w:color="auto" w:fill="8D843E"/>
    </w:rPr>
  </w:style>
  <w:style w:type="character" w:customStyle="1" w:styleId="191">
    <w:name w:val="font11"/>
    <w:uiPriority w:val="99"/>
    <w:rPr>
      <w:rFonts w:ascii="宋体" w:hAnsi="宋体" w:eastAsia="宋体"/>
      <w:color w:val="000000"/>
      <w:sz w:val="18"/>
      <w:u w:val="none"/>
    </w:rPr>
  </w:style>
  <w:style w:type="character" w:customStyle="1" w:styleId="192">
    <w:name w:val="icon-xxgk"/>
    <w:uiPriority w:val="99"/>
  </w:style>
  <w:style w:type="character" w:customStyle="1" w:styleId="193">
    <w:name w:val="正文（首行缩进两字） Char Char Char"/>
    <w:uiPriority w:val="99"/>
    <w:rPr>
      <w:rFonts w:eastAsia="Times New Roman"/>
      <w:sz w:val="28"/>
      <w:lang w:val="en-US" w:eastAsia="zh-CN"/>
    </w:rPr>
  </w:style>
  <w:style w:type="character" w:customStyle="1" w:styleId="194">
    <w:name w:val="dd1"/>
    <w:uiPriority w:val="99"/>
  </w:style>
  <w:style w:type="character" w:customStyle="1" w:styleId="195">
    <w:name w:val="gf"/>
    <w:uiPriority w:val="99"/>
    <w:rPr>
      <w:b/>
      <w:color w:val="FFFFFF"/>
      <w:sz w:val="24"/>
      <w:shd w:val="clear" w:color="auto" w:fill="B90202"/>
    </w:rPr>
  </w:style>
  <w:style w:type="character" w:customStyle="1" w:styleId="196">
    <w:name w:val="Body Text Indent 2 Char2"/>
    <w:semiHidden/>
    <w:locked/>
    <w:uiPriority w:val="99"/>
    <w:rPr>
      <w:sz w:val="20"/>
    </w:rPr>
  </w:style>
  <w:style w:type="character" w:customStyle="1" w:styleId="197">
    <w:name w:val="cf"/>
    <w:uiPriority w:val="99"/>
    <w:rPr>
      <w:b/>
      <w:color w:val="FFFFFF"/>
      <w:sz w:val="24"/>
      <w:shd w:val="clear" w:color="auto" w:fill="B90202"/>
    </w:rPr>
  </w:style>
  <w:style w:type="character" w:customStyle="1" w:styleId="198">
    <w:name w:val="zxft-tit"/>
    <w:uiPriority w:val="99"/>
    <w:rPr>
      <w:b/>
      <w:color w:val="CB0306"/>
      <w:sz w:val="24"/>
    </w:rPr>
  </w:style>
  <w:style w:type="character" w:customStyle="1" w:styleId="199">
    <w:name w:val="zz"/>
    <w:uiPriority w:val="99"/>
  </w:style>
  <w:style w:type="character" w:customStyle="1" w:styleId="200">
    <w:name w:val="tit1"/>
    <w:uiPriority w:val="99"/>
    <w:rPr>
      <w:sz w:val="24"/>
    </w:rPr>
  </w:style>
  <w:style w:type="character" w:customStyle="1" w:styleId="201">
    <w:name w:val="a5"/>
    <w:uiPriority w:val="99"/>
  </w:style>
  <w:style w:type="character" w:customStyle="1" w:styleId="202">
    <w:name w:val="dqwz"/>
    <w:uiPriority w:val="99"/>
  </w:style>
  <w:style w:type="character" w:customStyle="1" w:styleId="203">
    <w:name w:val="a4"/>
    <w:uiPriority w:val="99"/>
  </w:style>
  <w:style w:type="character" w:customStyle="1" w:styleId="204">
    <w:name w:val="z-窗体底端 Char"/>
    <w:link w:val="205"/>
    <w:locked/>
    <w:uiPriority w:val="99"/>
    <w:rPr>
      <w:rFonts w:ascii="Arial" w:hAnsi="Arial"/>
      <w:vanish/>
      <w:kern w:val="2"/>
      <w:sz w:val="16"/>
    </w:rPr>
  </w:style>
  <w:style w:type="paragraph" w:customStyle="1" w:styleId="205">
    <w:name w:val="z-窗体底端11"/>
    <w:basedOn w:val="1"/>
    <w:next w:val="1"/>
    <w:link w:val="204"/>
    <w:uiPriority w:val="99"/>
    <w:pPr>
      <w:pBdr>
        <w:top w:val="single" w:color="auto" w:sz="6" w:space="1"/>
      </w:pBdr>
      <w:jc w:val="center"/>
    </w:pPr>
    <w:rPr>
      <w:rFonts w:ascii="Arial" w:hAnsi="Arial"/>
      <w:vanish/>
      <w:sz w:val="16"/>
      <w:szCs w:val="20"/>
    </w:rPr>
  </w:style>
  <w:style w:type="character" w:customStyle="1" w:styleId="206">
    <w:name w:val="font71"/>
    <w:uiPriority w:val="99"/>
    <w:rPr>
      <w:rFonts w:ascii="Times New Roman" w:hAnsi="Times New Roman"/>
      <w:color w:val="000000"/>
      <w:sz w:val="18"/>
      <w:u w:val="none"/>
    </w:rPr>
  </w:style>
  <w:style w:type="character" w:customStyle="1" w:styleId="207">
    <w:name w:val="apple-style-span"/>
    <w:uiPriority w:val="99"/>
    <w:rPr>
      <w:rFonts w:ascii="宋体" w:eastAsia="宋体"/>
      <w:kern w:val="2"/>
      <w:sz w:val="24"/>
      <w:lang w:val="en-US" w:eastAsia="zh-CN"/>
    </w:rPr>
  </w:style>
  <w:style w:type="character" w:customStyle="1" w:styleId="208">
    <w:name w:val="font61"/>
    <w:uiPriority w:val="99"/>
    <w:rPr>
      <w:rFonts w:ascii="Times New Roman" w:hAnsi="Times New Roman"/>
      <w:color w:val="000000"/>
      <w:sz w:val="20"/>
      <w:u w:val="none"/>
    </w:rPr>
  </w:style>
  <w:style w:type="character" w:customStyle="1" w:styleId="209">
    <w:name w:val="text2"/>
    <w:uiPriority w:val="99"/>
    <w:rPr>
      <w:color w:val="FFFFFF"/>
      <w:sz w:val="24"/>
      <w:shd w:val="clear" w:color="auto" w:fill="CC0407"/>
    </w:rPr>
  </w:style>
  <w:style w:type="character" w:customStyle="1" w:styleId="210">
    <w:name w:val="d1"/>
    <w:uiPriority w:val="99"/>
  </w:style>
  <w:style w:type="character" w:customStyle="1" w:styleId="211">
    <w:name w:val="a1"/>
    <w:uiPriority w:val="99"/>
  </w:style>
  <w:style w:type="character" w:customStyle="1" w:styleId="212">
    <w:name w:val="d"/>
    <w:uiPriority w:val="99"/>
  </w:style>
  <w:style w:type="character" w:customStyle="1" w:styleId="213">
    <w:name w:val="hd-icon2"/>
    <w:uiPriority w:val="99"/>
  </w:style>
  <w:style w:type="character" w:customStyle="1" w:styleId="214">
    <w:name w:val="wel"/>
    <w:uiPriority w:val="99"/>
    <w:rPr>
      <w:color w:val="595959"/>
      <w:sz w:val="18"/>
    </w:rPr>
  </w:style>
  <w:style w:type="character" w:customStyle="1" w:styleId="215">
    <w:name w:val="re"/>
    <w:uiPriority w:val="99"/>
    <w:rPr>
      <w:color w:val="666666"/>
      <w:sz w:val="19"/>
    </w:rPr>
  </w:style>
  <w:style w:type="character" w:customStyle="1" w:styleId="216">
    <w:name w:val="b3"/>
    <w:uiPriority w:val="99"/>
    <w:rPr>
      <w:color w:val="8C8C8C"/>
      <w:sz w:val="18"/>
    </w:rPr>
  </w:style>
  <w:style w:type="character" w:customStyle="1" w:styleId="217">
    <w:name w:val="tit"/>
    <w:uiPriority w:val="99"/>
    <w:rPr>
      <w:b/>
      <w:color w:val="FFFFFF"/>
      <w:sz w:val="21"/>
    </w:rPr>
  </w:style>
  <w:style w:type="character" w:customStyle="1" w:styleId="218">
    <w:name w:val="cf2"/>
    <w:uiPriority w:val="99"/>
    <w:rPr>
      <w:b/>
      <w:color w:val="FFFFFF"/>
      <w:sz w:val="24"/>
      <w:shd w:val="clear" w:color="auto" w:fill="B90202"/>
    </w:rPr>
  </w:style>
  <w:style w:type="character" w:customStyle="1" w:styleId="219">
    <w:name w:val="cf1"/>
    <w:uiPriority w:val="99"/>
    <w:rPr>
      <w:b/>
      <w:color w:val="FFFFFF"/>
      <w:sz w:val="24"/>
      <w:shd w:val="clear" w:color="auto" w:fill="B90202"/>
    </w:rPr>
  </w:style>
  <w:style w:type="character" w:customStyle="1" w:styleId="220">
    <w:name w:val="jz"/>
    <w:uiPriority w:val="99"/>
    <w:rPr>
      <w:color w:val="000000"/>
      <w:sz w:val="21"/>
    </w:rPr>
  </w:style>
  <w:style w:type="character" w:customStyle="1" w:styleId="221">
    <w:name w:val="current"/>
    <w:uiPriority w:val="99"/>
    <w:rPr>
      <w:b/>
      <w:color w:val="FFFFFF"/>
      <w:bdr w:val="single" w:color="FF0000" w:sz="6" w:space="0"/>
      <w:shd w:val="clear" w:color="auto" w:fill="FF0000"/>
    </w:rPr>
  </w:style>
  <w:style w:type="character" w:customStyle="1" w:styleId="222">
    <w:name w:val="icon-xxgk1"/>
    <w:uiPriority w:val="99"/>
  </w:style>
  <w:style w:type="character" w:customStyle="1" w:styleId="223">
    <w:name w:val="dqwz2"/>
    <w:uiPriority w:val="99"/>
  </w:style>
  <w:style w:type="character" w:customStyle="1" w:styleId="224">
    <w:name w:val="wj"/>
    <w:uiPriority w:val="99"/>
    <w:rPr>
      <w:color w:val="5F5F5F"/>
      <w:sz w:val="24"/>
    </w:rPr>
  </w:style>
  <w:style w:type="character" w:customStyle="1" w:styleId="225">
    <w:name w:val="font51"/>
    <w:uiPriority w:val="99"/>
    <w:rPr>
      <w:rFonts w:ascii="宋体" w:hAnsi="宋体" w:eastAsia="宋体"/>
      <w:color w:val="000000"/>
      <w:sz w:val="20"/>
      <w:u w:val="none"/>
    </w:rPr>
  </w:style>
  <w:style w:type="character" w:customStyle="1" w:styleId="226">
    <w:name w:val="a3"/>
    <w:uiPriority w:val="99"/>
    <w:rPr>
      <w:color w:val="8C8C8C"/>
      <w:sz w:val="18"/>
    </w:rPr>
  </w:style>
  <w:style w:type="character" w:customStyle="1" w:styleId="227">
    <w:name w:val="Subtle Emphasis1"/>
    <w:uiPriority w:val="99"/>
    <w:rPr>
      <w:i/>
      <w:color w:val="808080"/>
    </w:rPr>
  </w:style>
  <w:style w:type="character" w:customStyle="1" w:styleId="228">
    <w:name w:val="icon-hdjl"/>
    <w:uiPriority w:val="99"/>
  </w:style>
  <w:style w:type="character" w:customStyle="1" w:styleId="229">
    <w:name w:val="lm_a"/>
    <w:uiPriority w:val="99"/>
    <w:rPr>
      <w:b/>
      <w:color w:val="3366CC"/>
      <w:sz w:val="24"/>
      <w:bdr w:val="single" w:color="F0F0F0" w:sz="6" w:space="0"/>
    </w:rPr>
  </w:style>
  <w:style w:type="character" w:customStyle="1" w:styleId="230">
    <w:name w:val="dd"/>
    <w:uiPriority w:val="99"/>
  </w:style>
  <w:style w:type="character" w:customStyle="1" w:styleId="231">
    <w:name w:val="icon-hdjl1"/>
    <w:uiPriority w:val="99"/>
  </w:style>
  <w:style w:type="character" w:customStyle="1" w:styleId="232">
    <w:name w:val="day"/>
    <w:uiPriority w:val="99"/>
    <w:rPr>
      <w:color w:val="A96943"/>
      <w:sz w:val="18"/>
      <w:bdr w:val="single" w:color="BE7D57" w:sz="6" w:space="0"/>
    </w:rPr>
  </w:style>
  <w:style w:type="character" w:customStyle="1" w:styleId="233">
    <w:name w:val="Body Text 2 Char1"/>
    <w:semiHidden/>
    <w:locked/>
    <w:uiPriority w:val="99"/>
    <w:rPr>
      <w:sz w:val="20"/>
    </w:rPr>
  </w:style>
  <w:style w:type="character" w:customStyle="1" w:styleId="234">
    <w:name w:val="text"/>
    <w:uiPriority w:val="99"/>
    <w:rPr>
      <w:color w:val="FFFFFF"/>
      <w:sz w:val="24"/>
      <w:shd w:val="clear" w:color="auto" w:fill="CC0407"/>
    </w:rPr>
  </w:style>
  <w:style w:type="character" w:customStyle="1" w:styleId="235">
    <w:name w:val="hd-icon4"/>
    <w:uiPriority w:val="99"/>
  </w:style>
  <w:style w:type="paragraph" w:customStyle="1" w:styleId="236">
    <w:name w:val="reader-word-layer reader-word-s82-16"/>
    <w:basedOn w:val="1"/>
    <w:uiPriority w:val="99"/>
    <w:pPr>
      <w:widowControl/>
      <w:spacing w:before="100" w:beforeAutospacing="1" w:after="100" w:afterAutospacing="1"/>
      <w:jc w:val="left"/>
    </w:pPr>
    <w:rPr>
      <w:rFonts w:ascii="宋体" w:hAnsi="宋体" w:cs="宋体"/>
      <w:kern w:val="0"/>
      <w:sz w:val="24"/>
    </w:rPr>
  </w:style>
  <w:style w:type="paragraph" w:customStyle="1" w:styleId="237">
    <w:name w:val="Char Char Char Char1 Char"/>
    <w:basedOn w:val="1"/>
    <w:uiPriority w:val="99"/>
  </w:style>
  <w:style w:type="paragraph" w:customStyle="1" w:styleId="238">
    <w:name w:val="reader-word-layer reader-word-s82-54 reader-word-s82-59"/>
    <w:basedOn w:val="1"/>
    <w:uiPriority w:val="99"/>
    <w:pPr>
      <w:widowControl/>
      <w:spacing w:before="100" w:beforeAutospacing="1" w:after="100" w:afterAutospacing="1"/>
      <w:jc w:val="left"/>
    </w:pPr>
    <w:rPr>
      <w:rFonts w:ascii="宋体" w:hAnsi="宋体" w:cs="宋体"/>
      <w:kern w:val="0"/>
      <w:sz w:val="24"/>
    </w:rPr>
  </w:style>
  <w:style w:type="paragraph" w:customStyle="1" w:styleId="239">
    <w:name w:val="reader-word-layer reader-word-s82-56"/>
    <w:basedOn w:val="1"/>
    <w:uiPriority w:val="99"/>
    <w:pPr>
      <w:widowControl/>
      <w:spacing w:before="100" w:beforeAutospacing="1" w:after="100" w:afterAutospacing="1"/>
      <w:jc w:val="left"/>
    </w:pPr>
    <w:rPr>
      <w:rFonts w:ascii="宋体" w:hAnsi="宋体" w:cs="宋体"/>
      <w:kern w:val="0"/>
      <w:sz w:val="24"/>
    </w:rPr>
  </w:style>
  <w:style w:type="paragraph" w:customStyle="1" w:styleId="240">
    <w:name w:val="reader-word-layer reader-word-s82-54"/>
    <w:basedOn w:val="1"/>
    <w:uiPriority w:val="99"/>
    <w:pPr>
      <w:widowControl/>
      <w:spacing w:before="100" w:beforeAutospacing="1" w:after="100" w:afterAutospacing="1"/>
      <w:jc w:val="left"/>
    </w:pPr>
    <w:rPr>
      <w:rFonts w:ascii="宋体" w:hAnsi="宋体" w:cs="宋体"/>
      <w:kern w:val="0"/>
      <w:sz w:val="24"/>
    </w:rPr>
  </w:style>
  <w:style w:type="paragraph" w:customStyle="1" w:styleId="241">
    <w:name w:val="reader-word-layer reader-word-s83-33"/>
    <w:basedOn w:val="1"/>
    <w:uiPriority w:val="99"/>
    <w:pPr>
      <w:widowControl/>
      <w:spacing w:before="100" w:beforeAutospacing="1" w:after="100" w:afterAutospacing="1"/>
      <w:jc w:val="left"/>
    </w:pPr>
    <w:rPr>
      <w:rFonts w:ascii="宋体" w:hAnsi="宋体" w:cs="宋体"/>
      <w:kern w:val="0"/>
      <w:sz w:val="24"/>
    </w:rPr>
  </w:style>
  <w:style w:type="paragraph" w:customStyle="1" w:styleId="242">
    <w:name w:val="reader-word-layer reader-word-s83-13"/>
    <w:basedOn w:val="1"/>
    <w:uiPriority w:val="99"/>
    <w:pPr>
      <w:widowControl/>
      <w:spacing w:before="100" w:beforeAutospacing="1" w:after="100" w:afterAutospacing="1"/>
      <w:jc w:val="left"/>
    </w:pPr>
    <w:rPr>
      <w:rFonts w:ascii="宋体" w:hAnsi="宋体" w:cs="宋体"/>
      <w:kern w:val="0"/>
      <w:sz w:val="24"/>
    </w:rPr>
  </w:style>
  <w:style w:type="paragraph" w:customStyle="1" w:styleId="243">
    <w:name w:val="reader-word-layer reader-word-s83-32"/>
    <w:basedOn w:val="1"/>
    <w:uiPriority w:val="99"/>
    <w:pPr>
      <w:widowControl/>
      <w:spacing w:before="100" w:beforeAutospacing="1" w:after="100" w:afterAutospacing="1"/>
      <w:jc w:val="left"/>
    </w:pPr>
    <w:rPr>
      <w:rFonts w:ascii="宋体" w:hAnsi="宋体" w:cs="宋体"/>
      <w:kern w:val="0"/>
      <w:sz w:val="24"/>
    </w:rPr>
  </w:style>
  <w:style w:type="paragraph" w:customStyle="1" w:styleId="244">
    <w:name w:val="reader-word-layer reader-word-s82-16 reader-word-s82-28"/>
    <w:basedOn w:val="1"/>
    <w:uiPriority w:val="99"/>
    <w:pPr>
      <w:widowControl/>
      <w:spacing w:before="100" w:beforeAutospacing="1" w:after="100" w:afterAutospacing="1"/>
      <w:jc w:val="left"/>
    </w:pPr>
    <w:rPr>
      <w:rFonts w:ascii="宋体" w:hAnsi="宋体" w:cs="宋体"/>
      <w:kern w:val="0"/>
      <w:sz w:val="24"/>
    </w:rPr>
  </w:style>
  <w:style w:type="paragraph" w:customStyle="1" w:styleId="245">
    <w:name w:val="reader-word-layer reader-word-s82-67"/>
    <w:basedOn w:val="1"/>
    <w:uiPriority w:val="99"/>
    <w:pPr>
      <w:widowControl/>
      <w:spacing w:before="100" w:beforeAutospacing="1" w:after="100" w:afterAutospacing="1"/>
      <w:jc w:val="left"/>
    </w:pPr>
    <w:rPr>
      <w:rFonts w:ascii="宋体" w:hAnsi="宋体" w:cs="宋体"/>
      <w:kern w:val="0"/>
      <w:sz w:val="24"/>
    </w:rPr>
  </w:style>
  <w:style w:type="paragraph" w:customStyle="1" w:styleId="246">
    <w:name w:val="reader-word-layer reader-word-s82-61"/>
    <w:basedOn w:val="1"/>
    <w:uiPriority w:val="99"/>
    <w:pPr>
      <w:widowControl/>
      <w:spacing w:before="100" w:beforeAutospacing="1" w:after="100" w:afterAutospacing="1"/>
      <w:jc w:val="left"/>
    </w:pPr>
    <w:rPr>
      <w:rFonts w:ascii="宋体" w:hAnsi="宋体" w:cs="宋体"/>
      <w:kern w:val="0"/>
      <w:sz w:val="24"/>
    </w:rPr>
  </w:style>
  <w:style w:type="paragraph" w:customStyle="1" w:styleId="247">
    <w:name w:val="reader-word-layer reader-word-s82-6 reader-word-s82-64"/>
    <w:basedOn w:val="1"/>
    <w:uiPriority w:val="99"/>
    <w:pPr>
      <w:widowControl/>
      <w:spacing w:before="100" w:beforeAutospacing="1" w:after="100" w:afterAutospacing="1"/>
      <w:jc w:val="left"/>
    </w:pPr>
    <w:rPr>
      <w:rFonts w:ascii="宋体" w:hAnsi="宋体" w:cs="宋体"/>
      <w:kern w:val="0"/>
      <w:sz w:val="24"/>
    </w:rPr>
  </w:style>
  <w:style w:type="paragraph" w:customStyle="1" w:styleId="248">
    <w:name w:val="reader-word-layer reader-word-s82-0 reader-word-s82-7"/>
    <w:basedOn w:val="1"/>
    <w:uiPriority w:val="99"/>
    <w:pPr>
      <w:widowControl/>
      <w:spacing w:before="100" w:beforeAutospacing="1" w:after="100" w:afterAutospacing="1"/>
      <w:jc w:val="left"/>
    </w:pPr>
    <w:rPr>
      <w:rFonts w:ascii="宋体" w:hAnsi="宋体" w:cs="宋体"/>
      <w:kern w:val="0"/>
      <w:sz w:val="24"/>
    </w:rPr>
  </w:style>
  <w:style w:type="paragraph" w:customStyle="1" w:styleId="249">
    <w:name w:val="reader-word-layer reader-word-s82-63"/>
    <w:basedOn w:val="1"/>
    <w:uiPriority w:val="99"/>
    <w:pPr>
      <w:widowControl/>
      <w:spacing w:before="100" w:beforeAutospacing="1" w:after="100" w:afterAutospacing="1"/>
      <w:jc w:val="left"/>
    </w:pPr>
    <w:rPr>
      <w:rFonts w:ascii="宋体" w:hAnsi="宋体" w:cs="宋体"/>
      <w:kern w:val="0"/>
      <w:sz w:val="24"/>
    </w:rPr>
  </w:style>
  <w:style w:type="paragraph" w:customStyle="1" w:styleId="250">
    <w:name w:val="reader-word-layer reader-word-s82-7 reader-word-s82-13"/>
    <w:basedOn w:val="1"/>
    <w:uiPriority w:val="99"/>
    <w:pPr>
      <w:widowControl/>
      <w:spacing w:before="100" w:beforeAutospacing="1" w:after="100" w:afterAutospacing="1"/>
      <w:jc w:val="left"/>
    </w:pPr>
    <w:rPr>
      <w:rFonts w:ascii="宋体" w:hAnsi="宋体" w:cs="宋体"/>
      <w:kern w:val="0"/>
      <w:sz w:val="24"/>
    </w:rPr>
  </w:style>
  <w:style w:type="paragraph" w:customStyle="1" w:styleId="251">
    <w:name w:val="reader-word-layer reader-word-s83-10"/>
    <w:basedOn w:val="1"/>
    <w:uiPriority w:val="99"/>
    <w:pPr>
      <w:widowControl/>
      <w:spacing w:before="100" w:beforeAutospacing="1" w:after="100" w:afterAutospacing="1"/>
      <w:jc w:val="left"/>
    </w:pPr>
    <w:rPr>
      <w:rFonts w:ascii="宋体" w:hAnsi="宋体" w:cs="宋体"/>
      <w:kern w:val="0"/>
      <w:sz w:val="24"/>
    </w:rPr>
  </w:style>
  <w:style w:type="paragraph" w:customStyle="1" w:styleId="252">
    <w:name w:val="reader-word-layer reader-word-s82-18"/>
    <w:basedOn w:val="1"/>
    <w:uiPriority w:val="99"/>
    <w:pPr>
      <w:widowControl/>
      <w:spacing w:before="100" w:beforeAutospacing="1" w:after="100" w:afterAutospacing="1"/>
      <w:jc w:val="left"/>
    </w:pPr>
    <w:rPr>
      <w:rFonts w:ascii="宋体" w:hAnsi="宋体" w:cs="宋体"/>
      <w:kern w:val="0"/>
      <w:sz w:val="24"/>
    </w:rPr>
  </w:style>
  <w:style w:type="paragraph" w:customStyle="1" w:styleId="253">
    <w:name w:val="Char Char91"/>
    <w:basedOn w:val="1"/>
    <w:uiPriority w:val="99"/>
    <w:rPr>
      <w:rFonts w:ascii="Tahoma" w:hAnsi="Tahoma"/>
      <w:sz w:val="24"/>
      <w:szCs w:val="20"/>
    </w:rPr>
  </w:style>
  <w:style w:type="paragraph" w:customStyle="1" w:styleId="254">
    <w:name w:val="reader-word-layer reader-word-s82-14"/>
    <w:basedOn w:val="1"/>
    <w:uiPriority w:val="99"/>
    <w:pPr>
      <w:widowControl/>
      <w:spacing w:before="100" w:beforeAutospacing="1" w:after="100" w:afterAutospacing="1"/>
      <w:jc w:val="left"/>
    </w:pPr>
    <w:rPr>
      <w:rFonts w:ascii="宋体" w:hAnsi="宋体" w:cs="宋体"/>
      <w:kern w:val="0"/>
      <w:sz w:val="24"/>
    </w:rPr>
  </w:style>
  <w:style w:type="paragraph" w:customStyle="1" w:styleId="255">
    <w:name w:val="reader-word-layer reader-word-s82-57"/>
    <w:basedOn w:val="1"/>
    <w:uiPriority w:val="99"/>
    <w:pPr>
      <w:widowControl/>
      <w:spacing w:before="100" w:beforeAutospacing="1" w:after="100" w:afterAutospacing="1"/>
      <w:jc w:val="left"/>
    </w:pPr>
    <w:rPr>
      <w:rFonts w:ascii="宋体" w:hAnsi="宋体" w:cs="宋体"/>
      <w:kern w:val="0"/>
      <w:sz w:val="24"/>
    </w:rPr>
  </w:style>
  <w:style w:type="paragraph" w:customStyle="1" w:styleId="256">
    <w:name w:val="reader-word-layer reader-word-s83-31"/>
    <w:basedOn w:val="1"/>
    <w:uiPriority w:val="99"/>
    <w:pPr>
      <w:widowControl/>
      <w:spacing w:before="100" w:beforeAutospacing="1" w:after="100" w:afterAutospacing="1"/>
      <w:jc w:val="left"/>
    </w:pPr>
    <w:rPr>
      <w:rFonts w:ascii="宋体" w:hAnsi="宋体" w:cs="宋体"/>
      <w:kern w:val="0"/>
      <w:sz w:val="24"/>
    </w:rPr>
  </w:style>
  <w:style w:type="paragraph" w:customStyle="1" w:styleId="257">
    <w:name w:val="reader-word-layer reader-word-s82-23 reader-word-s82-54"/>
    <w:basedOn w:val="1"/>
    <w:uiPriority w:val="99"/>
    <w:pPr>
      <w:widowControl/>
      <w:spacing w:before="100" w:beforeAutospacing="1" w:after="100" w:afterAutospacing="1"/>
      <w:jc w:val="left"/>
    </w:pPr>
    <w:rPr>
      <w:rFonts w:ascii="宋体" w:hAnsi="宋体" w:cs="宋体"/>
      <w:kern w:val="0"/>
      <w:sz w:val="24"/>
    </w:rPr>
  </w:style>
  <w:style w:type="paragraph" w:customStyle="1" w:styleId="258">
    <w:name w:val="a"/>
    <w:basedOn w:val="1"/>
    <w:uiPriority w:val="99"/>
    <w:pPr>
      <w:widowControl/>
      <w:spacing w:before="100" w:beforeAutospacing="1" w:after="100" w:afterAutospacing="1"/>
      <w:jc w:val="left"/>
    </w:pPr>
    <w:rPr>
      <w:rFonts w:ascii="宋体" w:hAnsi="宋体" w:cs="宋体"/>
      <w:kern w:val="0"/>
      <w:sz w:val="24"/>
    </w:rPr>
  </w:style>
  <w:style w:type="paragraph" w:customStyle="1" w:styleId="259">
    <w:name w:val="reader-word-layer reader-word-s82-27 reader-word-s82-55 reader-word-s82-58"/>
    <w:basedOn w:val="1"/>
    <w:uiPriority w:val="99"/>
    <w:pPr>
      <w:widowControl/>
      <w:spacing w:before="100" w:beforeAutospacing="1" w:after="100" w:afterAutospacing="1"/>
      <w:jc w:val="left"/>
    </w:pPr>
    <w:rPr>
      <w:rFonts w:ascii="宋体" w:hAnsi="宋体" w:cs="宋体"/>
      <w:kern w:val="0"/>
      <w:sz w:val="24"/>
    </w:rPr>
  </w:style>
  <w:style w:type="paragraph" w:customStyle="1" w:styleId="260">
    <w:name w:val="reader-word-layer reader-word-s83-38"/>
    <w:basedOn w:val="1"/>
    <w:uiPriority w:val="99"/>
    <w:pPr>
      <w:widowControl/>
      <w:spacing w:before="100" w:beforeAutospacing="1" w:after="100" w:afterAutospacing="1"/>
      <w:jc w:val="left"/>
    </w:pPr>
    <w:rPr>
      <w:rFonts w:ascii="宋体" w:hAnsi="宋体" w:cs="宋体"/>
      <w:kern w:val="0"/>
      <w:sz w:val="24"/>
    </w:rPr>
  </w:style>
  <w:style w:type="paragraph" w:customStyle="1" w:styleId="261">
    <w:name w:val="reader-word-layer reader-word-s83-20 reader-word-s83-38"/>
    <w:basedOn w:val="1"/>
    <w:uiPriority w:val="99"/>
    <w:pPr>
      <w:widowControl/>
      <w:spacing w:before="100" w:beforeAutospacing="1" w:after="100" w:afterAutospacing="1"/>
      <w:jc w:val="left"/>
    </w:pPr>
    <w:rPr>
      <w:rFonts w:ascii="宋体" w:hAnsi="宋体" w:cs="宋体"/>
      <w:kern w:val="0"/>
      <w:sz w:val="24"/>
    </w:rPr>
  </w:style>
  <w:style w:type="paragraph" w:customStyle="1" w:styleId="262">
    <w:name w:val="reader-word-layer reader-word-s82-16 reader-word-s82-40"/>
    <w:basedOn w:val="1"/>
    <w:uiPriority w:val="99"/>
    <w:pPr>
      <w:widowControl/>
      <w:spacing w:before="100" w:beforeAutospacing="1" w:after="100" w:afterAutospacing="1"/>
      <w:jc w:val="left"/>
    </w:pPr>
    <w:rPr>
      <w:rFonts w:ascii="宋体" w:hAnsi="宋体" w:cs="宋体"/>
      <w:kern w:val="0"/>
      <w:sz w:val="24"/>
    </w:rPr>
  </w:style>
  <w:style w:type="paragraph" w:customStyle="1" w:styleId="263">
    <w:name w:val="Char Char Char Char Char Char Char Char Char Char Char Char Char Char Char1"/>
    <w:basedOn w:val="1"/>
    <w:uiPriority w:val="99"/>
    <w:rPr>
      <w:rFonts w:ascii="Tahoma" w:hAnsi="Tahoma"/>
      <w:kern w:val="0"/>
      <w:sz w:val="24"/>
      <w:szCs w:val="20"/>
    </w:rPr>
  </w:style>
  <w:style w:type="paragraph" w:customStyle="1" w:styleId="264">
    <w:name w:val="Char2"/>
    <w:basedOn w:val="8"/>
    <w:uiPriority w:val="99"/>
    <w:rPr>
      <w:rFonts w:ascii="Tahoma" w:hAnsi="Tahoma"/>
      <w:kern w:val="2"/>
      <w:sz w:val="24"/>
      <w:szCs w:val="24"/>
    </w:rPr>
  </w:style>
  <w:style w:type="paragraph" w:customStyle="1" w:styleId="265">
    <w:name w:val="reader-word-layer reader-word-s82-10 reader-word-s82-12"/>
    <w:basedOn w:val="1"/>
    <w:uiPriority w:val="99"/>
    <w:pPr>
      <w:widowControl/>
      <w:spacing w:before="100" w:beforeAutospacing="1" w:after="100" w:afterAutospacing="1"/>
      <w:jc w:val="left"/>
    </w:pPr>
    <w:rPr>
      <w:rFonts w:ascii="宋体" w:hAnsi="宋体" w:cs="宋体"/>
      <w:kern w:val="0"/>
      <w:sz w:val="24"/>
    </w:rPr>
  </w:style>
  <w:style w:type="paragraph" w:customStyle="1" w:styleId="266">
    <w:name w:val="reader-word-layer reader-word-s82-20"/>
    <w:basedOn w:val="1"/>
    <w:uiPriority w:val="99"/>
    <w:pPr>
      <w:widowControl/>
      <w:spacing w:before="100" w:beforeAutospacing="1" w:after="100" w:afterAutospacing="1"/>
      <w:jc w:val="left"/>
    </w:pPr>
    <w:rPr>
      <w:rFonts w:ascii="宋体" w:hAnsi="宋体" w:cs="宋体"/>
      <w:kern w:val="0"/>
      <w:sz w:val="24"/>
    </w:rPr>
  </w:style>
  <w:style w:type="paragraph" w:customStyle="1" w:styleId="267">
    <w:name w:val="reader-word-layer reader-word-s82-26 reader-word-s82-52"/>
    <w:basedOn w:val="1"/>
    <w:uiPriority w:val="99"/>
    <w:pPr>
      <w:widowControl/>
      <w:spacing w:before="100" w:beforeAutospacing="1" w:after="100" w:afterAutospacing="1"/>
      <w:jc w:val="left"/>
    </w:pPr>
    <w:rPr>
      <w:rFonts w:ascii="宋体" w:hAnsi="宋体" w:cs="宋体"/>
      <w:kern w:val="0"/>
      <w:sz w:val="24"/>
    </w:rPr>
  </w:style>
  <w:style w:type="paragraph" w:customStyle="1" w:styleId="268">
    <w:name w:val="reader-word-layer reader-word-s83-21"/>
    <w:basedOn w:val="1"/>
    <w:uiPriority w:val="99"/>
    <w:pPr>
      <w:widowControl/>
      <w:spacing w:before="100" w:beforeAutospacing="1" w:after="100" w:afterAutospacing="1"/>
      <w:jc w:val="left"/>
    </w:pPr>
    <w:rPr>
      <w:rFonts w:ascii="宋体" w:hAnsi="宋体" w:cs="宋体"/>
      <w:kern w:val="0"/>
      <w:sz w:val="24"/>
    </w:rPr>
  </w:style>
  <w:style w:type="paragraph" w:customStyle="1" w:styleId="269">
    <w:name w:val="reader-word-layer reader-word-s82-59"/>
    <w:basedOn w:val="1"/>
    <w:uiPriority w:val="99"/>
    <w:pPr>
      <w:widowControl/>
      <w:spacing w:before="100" w:beforeAutospacing="1" w:after="100" w:afterAutospacing="1"/>
      <w:jc w:val="left"/>
    </w:pPr>
    <w:rPr>
      <w:rFonts w:ascii="宋体" w:hAnsi="宋体" w:cs="宋体"/>
      <w:kern w:val="0"/>
      <w:sz w:val="24"/>
    </w:rPr>
  </w:style>
  <w:style w:type="paragraph" w:customStyle="1" w:styleId="270">
    <w:name w:val="reader-word-layer reader-word-s83-17"/>
    <w:basedOn w:val="1"/>
    <w:uiPriority w:val="99"/>
    <w:pPr>
      <w:widowControl/>
      <w:spacing w:before="100" w:beforeAutospacing="1" w:after="100" w:afterAutospacing="1"/>
      <w:jc w:val="left"/>
    </w:pPr>
    <w:rPr>
      <w:rFonts w:ascii="宋体" w:hAnsi="宋体" w:cs="宋体"/>
      <w:kern w:val="0"/>
      <w:sz w:val="24"/>
    </w:rPr>
  </w:style>
  <w:style w:type="paragraph" w:customStyle="1" w:styleId="271">
    <w:name w:val="reader-word-layer reader-word-s83-36"/>
    <w:basedOn w:val="1"/>
    <w:uiPriority w:val="99"/>
    <w:pPr>
      <w:widowControl/>
      <w:spacing w:before="100" w:beforeAutospacing="1" w:after="100" w:afterAutospacing="1"/>
      <w:jc w:val="left"/>
    </w:pPr>
    <w:rPr>
      <w:rFonts w:ascii="宋体" w:hAnsi="宋体" w:cs="宋体"/>
      <w:kern w:val="0"/>
      <w:sz w:val="24"/>
    </w:rPr>
  </w:style>
  <w:style w:type="paragraph" w:customStyle="1" w:styleId="272">
    <w:name w:val="reader-word-layer reader-word-s82-60"/>
    <w:basedOn w:val="1"/>
    <w:uiPriority w:val="99"/>
    <w:pPr>
      <w:widowControl/>
      <w:spacing w:before="100" w:beforeAutospacing="1" w:after="100" w:afterAutospacing="1"/>
      <w:jc w:val="left"/>
    </w:pPr>
    <w:rPr>
      <w:rFonts w:ascii="宋体" w:hAnsi="宋体" w:cs="宋体"/>
      <w:kern w:val="0"/>
      <w:sz w:val="24"/>
    </w:rPr>
  </w:style>
  <w:style w:type="paragraph" w:customStyle="1" w:styleId="273">
    <w:name w:val="reader-word-layer reader-word-s82-52"/>
    <w:basedOn w:val="1"/>
    <w:uiPriority w:val="99"/>
    <w:pPr>
      <w:widowControl/>
      <w:spacing w:before="100" w:beforeAutospacing="1" w:after="100" w:afterAutospacing="1"/>
      <w:jc w:val="left"/>
    </w:pPr>
    <w:rPr>
      <w:rFonts w:ascii="宋体" w:hAnsi="宋体" w:cs="宋体"/>
      <w:kern w:val="0"/>
      <w:sz w:val="24"/>
    </w:rPr>
  </w:style>
  <w:style w:type="paragraph" w:customStyle="1" w:styleId="274">
    <w:name w:val="reader-word-layer reader-word-s82-36 reader-word-s82-56"/>
    <w:basedOn w:val="1"/>
    <w:uiPriority w:val="99"/>
    <w:pPr>
      <w:widowControl/>
      <w:spacing w:before="100" w:beforeAutospacing="1" w:after="100" w:afterAutospacing="1"/>
      <w:jc w:val="left"/>
    </w:pPr>
    <w:rPr>
      <w:rFonts w:ascii="宋体" w:hAnsi="宋体" w:cs="宋体"/>
      <w:kern w:val="0"/>
      <w:sz w:val="24"/>
    </w:rPr>
  </w:style>
  <w:style w:type="paragraph" w:customStyle="1" w:styleId="275">
    <w:name w:val="reader-word-layer reader-word-s82-66"/>
    <w:basedOn w:val="1"/>
    <w:uiPriority w:val="99"/>
    <w:pPr>
      <w:widowControl/>
      <w:spacing w:before="100" w:beforeAutospacing="1" w:after="100" w:afterAutospacing="1"/>
      <w:jc w:val="left"/>
    </w:pPr>
    <w:rPr>
      <w:rFonts w:ascii="宋体" w:hAnsi="宋体" w:cs="宋体"/>
      <w:kern w:val="0"/>
      <w:sz w:val="24"/>
    </w:rPr>
  </w:style>
  <w:style w:type="paragraph" w:customStyle="1" w:styleId="276">
    <w:name w:val="reader-word-layer reader-word-s82-24"/>
    <w:basedOn w:val="1"/>
    <w:uiPriority w:val="99"/>
    <w:pPr>
      <w:widowControl/>
      <w:spacing w:before="100" w:beforeAutospacing="1" w:after="100" w:afterAutospacing="1"/>
      <w:jc w:val="left"/>
    </w:pPr>
    <w:rPr>
      <w:rFonts w:ascii="宋体" w:hAnsi="宋体" w:cs="宋体"/>
      <w:kern w:val="0"/>
      <w:sz w:val="24"/>
    </w:rPr>
  </w:style>
  <w:style w:type="paragraph" w:customStyle="1" w:styleId="277">
    <w:name w:val="reader-word-layer reader-word-s83-22"/>
    <w:basedOn w:val="1"/>
    <w:uiPriority w:val="99"/>
    <w:pPr>
      <w:widowControl/>
      <w:spacing w:before="100" w:beforeAutospacing="1" w:after="100" w:afterAutospacing="1"/>
      <w:jc w:val="left"/>
    </w:pPr>
    <w:rPr>
      <w:rFonts w:ascii="宋体" w:hAnsi="宋体" w:cs="宋体"/>
      <w:kern w:val="0"/>
      <w:sz w:val="24"/>
    </w:rPr>
  </w:style>
  <w:style w:type="paragraph" w:customStyle="1" w:styleId="278">
    <w:name w:val="reader-word-layer reader-word-s82-25"/>
    <w:basedOn w:val="1"/>
    <w:uiPriority w:val="99"/>
    <w:pPr>
      <w:widowControl/>
      <w:spacing w:before="100" w:beforeAutospacing="1" w:after="100" w:afterAutospacing="1"/>
      <w:jc w:val="left"/>
    </w:pPr>
    <w:rPr>
      <w:rFonts w:ascii="宋体" w:hAnsi="宋体" w:cs="宋体"/>
      <w:kern w:val="0"/>
      <w:sz w:val="24"/>
    </w:rPr>
  </w:style>
  <w:style w:type="paragraph" w:customStyle="1" w:styleId="279">
    <w:name w:val="reader-word-layer reader-word-s83-23"/>
    <w:basedOn w:val="1"/>
    <w:uiPriority w:val="99"/>
    <w:pPr>
      <w:widowControl/>
      <w:spacing w:before="100" w:beforeAutospacing="1" w:after="100" w:afterAutospacing="1"/>
      <w:jc w:val="left"/>
    </w:pPr>
    <w:rPr>
      <w:rFonts w:ascii="宋体" w:hAnsi="宋体" w:cs="宋体"/>
      <w:kern w:val="0"/>
      <w:sz w:val="24"/>
    </w:rPr>
  </w:style>
  <w:style w:type="paragraph" w:customStyle="1" w:styleId="280">
    <w:name w:val="向"/>
    <w:basedOn w:val="15"/>
    <w:uiPriority w:val="99"/>
    <w:pPr>
      <w:spacing w:line="360" w:lineRule="auto"/>
      <w:ind w:firstLine="567"/>
    </w:pPr>
    <w:rPr>
      <w:rFonts w:ascii="仿宋_GB2312" w:eastAsia="Times New Roman"/>
      <w:sz w:val="28"/>
    </w:rPr>
  </w:style>
  <w:style w:type="paragraph" w:customStyle="1" w:styleId="281">
    <w:name w:val="pic-info"/>
    <w:basedOn w:val="1"/>
    <w:uiPriority w:val="99"/>
    <w:pPr>
      <w:widowControl/>
      <w:spacing w:before="100" w:beforeAutospacing="1" w:after="100" w:afterAutospacing="1"/>
      <w:jc w:val="left"/>
    </w:pPr>
    <w:rPr>
      <w:rFonts w:ascii="宋体" w:hAnsi="宋体" w:cs="宋体"/>
      <w:kern w:val="0"/>
      <w:sz w:val="24"/>
    </w:rPr>
  </w:style>
  <w:style w:type="paragraph" w:customStyle="1" w:styleId="282">
    <w:name w:val="reader-word-layer reader-word-s84-11"/>
    <w:basedOn w:val="1"/>
    <w:uiPriority w:val="99"/>
    <w:pPr>
      <w:widowControl/>
      <w:spacing w:before="100" w:beforeAutospacing="1" w:after="100" w:afterAutospacing="1"/>
      <w:jc w:val="left"/>
    </w:pPr>
    <w:rPr>
      <w:rFonts w:ascii="宋体" w:hAnsi="宋体" w:cs="宋体"/>
      <w:kern w:val="0"/>
      <w:sz w:val="24"/>
    </w:rPr>
  </w:style>
  <w:style w:type="paragraph" w:customStyle="1" w:styleId="283">
    <w:name w:val="reader-word-layer reader-word-s84-14"/>
    <w:basedOn w:val="1"/>
    <w:uiPriority w:val="99"/>
    <w:pPr>
      <w:widowControl/>
      <w:spacing w:before="100" w:beforeAutospacing="1" w:after="100" w:afterAutospacing="1"/>
      <w:jc w:val="left"/>
    </w:pPr>
    <w:rPr>
      <w:rFonts w:ascii="宋体" w:hAnsi="宋体" w:cs="宋体"/>
      <w:kern w:val="0"/>
      <w:sz w:val="24"/>
    </w:rPr>
  </w:style>
  <w:style w:type="paragraph" w:customStyle="1" w:styleId="284">
    <w:name w:val="reader-word-layer reader-word-s82-1"/>
    <w:basedOn w:val="1"/>
    <w:uiPriority w:val="99"/>
    <w:pPr>
      <w:widowControl/>
      <w:spacing w:before="100" w:beforeAutospacing="1" w:after="100" w:afterAutospacing="1"/>
      <w:jc w:val="left"/>
    </w:pPr>
    <w:rPr>
      <w:rFonts w:ascii="宋体" w:hAnsi="宋体" w:cs="宋体"/>
      <w:kern w:val="0"/>
      <w:sz w:val="24"/>
    </w:rPr>
  </w:style>
  <w:style w:type="paragraph" w:styleId="285">
    <w:name w:val="List Paragraph"/>
    <w:basedOn w:val="1"/>
    <w:qFormat/>
    <w:uiPriority w:val="99"/>
    <w:pPr>
      <w:ind w:firstLine="420" w:firstLineChars="200"/>
    </w:pPr>
    <w:rPr>
      <w:szCs w:val="22"/>
    </w:rPr>
  </w:style>
  <w:style w:type="character" w:styleId="286">
    <w:name w:val="Placeholder Text"/>
    <w:basedOn w:val="37"/>
    <w:uiPriority w:val="99"/>
    <w:rPr>
      <w:color w:val="808080"/>
    </w:rPr>
  </w:style>
  <w:style w:type="paragraph" w:customStyle="1" w:styleId="287">
    <w:name w:val="ha3"/>
    <w:basedOn w:val="1"/>
    <w:uiPriority w:val="99"/>
    <w:pPr>
      <w:widowControl/>
      <w:spacing w:before="100" w:beforeAutospacing="1" w:after="100" w:afterAutospacing="1"/>
      <w:jc w:val="left"/>
    </w:pPr>
    <w:rPr>
      <w:rFonts w:ascii="宋体" w:hAnsi="宋体" w:cs="宋体"/>
      <w:kern w:val="0"/>
      <w:sz w:val="24"/>
    </w:rPr>
  </w:style>
  <w:style w:type="character" w:customStyle="1" w:styleId="288">
    <w:name w:val="fw2"/>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china</Company>
  <Pages>37</Pages>
  <Words>19969</Words>
  <Characters>21488</Characters>
  <Lines>0</Lines>
  <Paragraphs>0</Paragraphs>
  <TotalTime>46</TotalTime>
  <ScaleCrop>false</ScaleCrop>
  <LinksUpToDate>false</LinksUpToDate>
  <CharactersWithSpaces>21899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2022-04-21T04:12:00Z</dcterms:created>
  <dc:creator>wenqiang</dc:creator>
  <cp:lastModifiedBy>Administrator</cp:lastModifiedBy>
  <cp:lastPrinted>2022-04-21T07:22:00Z</cp:lastPrinted>
  <dcterms:modified xsi:type="dcterms:W3CDTF">2022-04-27T07:05:56Z</dcterms:modified>
  <dc:title>四川省同正房地产评估有限责任公司</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9E44507303C9470E940AA343FC42BB17</vt:lpwstr>
  </property>
</Properties>
</file>